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Times New Roman" w:eastAsia="方正小标宋简体" w:cs="Times New Roman"/>
          <w:color w:val="000000" w:themeColor="text1"/>
          <w:sz w:val="36"/>
          <w:szCs w:val="36"/>
          <w14:textFill>
            <w14:solidFill>
              <w14:schemeClr w14:val="tx1"/>
            </w14:solidFill>
          </w14:textFill>
        </w:rPr>
      </w:pPr>
      <w:r>
        <w:rPr>
          <w:rFonts w:hint="eastAsia" w:ascii="方正小标宋简体" w:hAnsi="Times New Roman" w:eastAsia="方正小标宋简体" w:cs="Times New Roman"/>
          <w:color w:val="000000" w:themeColor="text1"/>
          <w:sz w:val="36"/>
          <w:szCs w:val="36"/>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Times New Roman" w:eastAsia="方正小标宋简体" w:cs="Times New Roman"/>
          <w:color w:val="000000" w:themeColor="text1"/>
          <w:sz w:val="36"/>
          <w:szCs w:val="36"/>
          <w:lang w:eastAsia="zh-CN"/>
          <w14:textFill>
            <w14:solidFill>
              <w14:schemeClr w14:val="tx1"/>
            </w14:solidFill>
          </w14:textFill>
        </w:rPr>
        <w:instrText xml:space="preserve">ADDIN CNKISM.UserStyle</w:instrText>
      </w:r>
      <w:r>
        <w:rPr>
          <w:rFonts w:hint="eastAsia" w:ascii="方正小标宋简体" w:hAnsi="Times New Roman" w:eastAsia="方正小标宋简体" w:cs="Times New Roman"/>
          <w:color w:val="000000" w:themeColor="text1"/>
          <w:sz w:val="36"/>
          <w:szCs w:val="36"/>
          <w14:textFill>
            <w14:solidFill>
              <w14:schemeClr w14:val="tx1"/>
            </w14:solidFill>
          </w14:textFill>
        </w:rPr>
        <w:fldChar w:fldCharType="separate"/>
      </w:r>
      <w:r>
        <w:rPr>
          <w:rFonts w:hint="eastAsia" w:ascii="方正小标宋简体" w:hAnsi="Times New Roman" w:eastAsia="方正小标宋简体" w:cs="Times New Roman"/>
          <w:color w:val="000000" w:themeColor="text1"/>
          <w:sz w:val="36"/>
          <w:szCs w:val="36"/>
          <w14:textFill>
            <w14:solidFill>
              <w14:schemeClr w14:val="tx1"/>
            </w14:solidFill>
          </w14:textFill>
        </w:rPr>
        <w:fldChar w:fldCharType="end"/>
      </w:r>
      <w:r>
        <w:rPr>
          <w:rFonts w:hint="eastAsia" w:ascii="方正小标宋简体" w:hAnsi="Times New Roman" w:eastAsia="方正小标宋简体" w:cs="Times New Roman"/>
          <w:color w:val="000000" w:themeColor="text1"/>
          <w:sz w:val="36"/>
          <w:szCs w:val="36"/>
          <w14:textFill>
            <w14:solidFill>
              <w14:schemeClr w14:val="tx1"/>
            </w14:solidFill>
          </w14:textFill>
        </w:rPr>
        <w:t>第四期高校教育信息化与网络安全</w:t>
      </w:r>
    </w:p>
    <w:p>
      <w:pPr>
        <w:spacing w:line="360" w:lineRule="auto"/>
        <w:jc w:val="center"/>
        <w:rPr>
          <w:rFonts w:hint="eastAsia" w:ascii="方正小标宋简体" w:hAnsi="Times New Roman" w:eastAsia="方正小标宋简体" w:cs="Times New Roman"/>
          <w:color w:val="000000" w:themeColor="text1"/>
          <w:sz w:val="36"/>
          <w:szCs w:val="36"/>
          <w:lang w:eastAsia="zh-CN"/>
          <w14:textFill>
            <w14:solidFill>
              <w14:schemeClr w14:val="tx1"/>
            </w14:solidFill>
          </w14:textFill>
        </w:rPr>
      </w:pPr>
      <w:r>
        <w:rPr>
          <w:rFonts w:hint="eastAsia" w:ascii="方正小标宋简体" w:hAnsi="Times New Roman" w:eastAsia="方正小标宋简体" w:cs="Times New Roman"/>
          <w:color w:val="000000" w:themeColor="text1"/>
          <w:sz w:val="36"/>
          <w:szCs w:val="36"/>
          <w14:textFill>
            <w14:solidFill>
              <w14:schemeClr w14:val="tx1"/>
            </w14:solidFill>
          </w14:textFill>
        </w:rPr>
        <w:t>专题网络培训实施方案</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为深入贯彻</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落实</w:t>
      </w:r>
      <w:r>
        <w:rPr>
          <w:rFonts w:hint="eastAsia" w:ascii="Times New Roman" w:hAnsi="Times New Roman" w:eastAsia="仿宋_GB2312" w:cs="Times New Roman"/>
          <w:color w:val="000000" w:themeColor="text1"/>
          <w:sz w:val="28"/>
          <w:szCs w:val="28"/>
          <w14:textFill>
            <w14:solidFill>
              <w14:schemeClr w14:val="tx1"/>
            </w14:solidFill>
          </w14:textFill>
        </w:rPr>
        <w:t>习近平总书记关于国家网络安全“四个坚持”的重要指示精神，根据《中华人民共和国网络安全法》《教育信息化2.0行动计划》等相关文件精神，2021年国家教育行政学院将面向高校负责信息化建设与网络安全相关部门负责同志、专业技术人员和教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开展第四期高校教育信息化与网络安全专题网络培训。</w:t>
      </w:r>
      <w:r>
        <w:rPr>
          <w:rFonts w:hint="eastAsia" w:ascii="仿宋_GB2312" w:hAnsi="仿宋_GB2312" w:eastAsia="仿宋_GB2312" w:cs="仿宋_GB2312"/>
          <w:sz w:val="28"/>
          <w:szCs w:val="28"/>
          <w:lang w:val="en-US" w:eastAsia="zh-CN"/>
        </w:rPr>
        <w:t>为保证培训的顺利实施，特制订本方案。</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一、培训目标</w:t>
      </w:r>
    </w:p>
    <w:p>
      <w:pPr>
        <w:spacing w:line="360" w:lineRule="auto"/>
        <w:ind w:firstLine="560" w:firstLineChars="200"/>
        <w:rPr>
          <w:rFonts w:hint="eastAsia" w:ascii="Times New Roman" w:hAnsi="Times New Roman" w:eastAsia="仿宋_GB2312" w:cs="Times New Roman"/>
          <w:bCs w:val="0"/>
          <w:kern w:val="2"/>
          <w:sz w:val="28"/>
          <w:szCs w:val="28"/>
          <w:lang w:val="en-US" w:eastAsia="zh-CN" w:bidi="ar-SA"/>
        </w:rPr>
      </w:pPr>
      <w:r>
        <w:rPr>
          <w:rFonts w:hint="eastAsia" w:ascii="Times New Roman" w:hAnsi="Times New Roman" w:eastAsia="仿宋_GB2312" w:cs="Times New Roman"/>
          <w:bCs w:val="0"/>
          <w:kern w:val="2"/>
          <w:sz w:val="28"/>
          <w:szCs w:val="28"/>
          <w:lang w:val="en-US" w:eastAsia="zh-CN" w:bidi="ar-SA"/>
        </w:rPr>
        <w:t>深刻领会习近平总书记关于国家网络安全“四个坚持”重要指示精神的科学内涵与重大意义，切实把思想和行动统一到党中央的决策部署上来；全面了解中央和教育部关于教育信息化建设的战略设计、整体规划和基本要求，深入学习国家有关网络安全的法律法规和政策文件，提高安全意识和信息素养，提升教育系统网络安全保障能力，推进新时代教育信息化发展。</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二、培训对象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200"/>
        <w:jc w:val="both"/>
        <w:textAlignment w:val="auto"/>
        <w:rPr>
          <w:rFonts w:hint="eastAsia" w:ascii="Times New Roman" w:hAnsi="Times New Roman" w:eastAsia="仿宋_GB2312" w:cs="Times New Roman"/>
          <w:bCs w:val="0"/>
          <w:kern w:val="2"/>
          <w:sz w:val="28"/>
          <w:szCs w:val="28"/>
          <w:lang w:val="en-US" w:eastAsia="zh-CN" w:bidi="ar-SA"/>
        </w:rPr>
      </w:pPr>
      <w:r>
        <w:rPr>
          <w:rFonts w:hint="eastAsia" w:ascii="Times New Roman" w:hAnsi="Times New Roman" w:eastAsia="仿宋_GB2312" w:cs="Times New Roman"/>
          <w:bCs w:val="0"/>
          <w:kern w:val="2"/>
          <w:sz w:val="28"/>
          <w:szCs w:val="28"/>
          <w:lang w:val="en-US" w:eastAsia="zh-CN" w:bidi="ar-SA"/>
        </w:rPr>
        <w:t>高校负责信息化建设与网络安全相关部门负责同志、专业技术人员和教师。</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三、培训时间</w:t>
      </w:r>
    </w:p>
    <w:p>
      <w:pPr>
        <w:keepNext w:val="0"/>
        <w:keepLines w:val="0"/>
        <w:pageBreakBefore w:val="0"/>
        <w:widowControl w:val="0"/>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培训时长一般为3个月，具体分为报名、学习和总结三个阶段，循环滚动开班，具体启动时间由合作单位与国家教育行政学院协商确定。具体培训安排见下表：</w:t>
      </w:r>
    </w:p>
    <w:tbl>
      <w:tblPr>
        <w:tblStyle w:val="6"/>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77"/>
        <w:gridCol w:w="1134"/>
        <w:gridCol w:w="58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0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cs="Times New Roman"/>
                <w:b/>
                <w:bCs/>
                <w:kern w:val="0"/>
                <w:sz w:val="24"/>
                <w:u w:color="000000"/>
              </w:rPr>
            </w:pPr>
            <w:r>
              <w:rPr>
                <w:rFonts w:ascii="Times New Roman" w:hAnsi="Times New Roman" w:eastAsia="仿宋_GB2312" w:cs="Times New Roman"/>
                <w:b/>
                <w:bCs/>
                <w:kern w:val="0"/>
                <w:sz w:val="24"/>
                <w:u w:color="000000"/>
              </w:rPr>
              <w:t>培训阶段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cs="Times New Roman"/>
                <w:b/>
                <w:bCs/>
                <w:kern w:val="0"/>
                <w:sz w:val="24"/>
                <w:u w:color="000000"/>
              </w:rPr>
            </w:pPr>
            <w:r>
              <w:rPr>
                <w:rFonts w:ascii="Times New Roman" w:hAnsi="Times New Roman" w:eastAsia="仿宋_GB2312" w:cs="Times New Roman"/>
                <w:b/>
                <w:bCs/>
                <w:kern w:val="0"/>
                <w:sz w:val="24"/>
                <w:u w:color="000000"/>
              </w:rPr>
              <w:t>时间</w:t>
            </w:r>
          </w:p>
        </w:tc>
        <w:tc>
          <w:tcPr>
            <w:tcW w:w="5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仿宋_GB2312" w:cs="Times New Roman"/>
                <w:b/>
                <w:bCs/>
                <w:kern w:val="0"/>
                <w:sz w:val="24"/>
                <w:u w:color="000000"/>
              </w:rPr>
            </w:pPr>
            <w:r>
              <w:rPr>
                <w:rFonts w:ascii="Times New Roman" w:hAnsi="Times New Roman" w:eastAsia="仿宋_GB2312" w:cs="Times New Roman"/>
                <w:b/>
                <w:bCs/>
                <w:kern w:val="0"/>
                <w:sz w:val="24"/>
                <w:u w:color="000000"/>
              </w:rPr>
              <w:t>工作内容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8"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4"/>
                <w:u w:color="000000"/>
              </w:rPr>
            </w:pPr>
            <w:r>
              <w:rPr>
                <w:rFonts w:hint="eastAsia" w:ascii="Times New Roman" w:hAnsi="Times New Roman" w:eastAsia="仿宋_GB2312" w:cs="Times New Roman"/>
                <w:kern w:val="0"/>
                <w:sz w:val="24"/>
                <w:u w:color="000000"/>
                <w:lang w:val="en-US" w:eastAsia="zh-CN"/>
              </w:rPr>
              <w:t>报名</w:t>
            </w:r>
            <w:r>
              <w:rPr>
                <w:rFonts w:ascii="Times New Roman" w:hAnsi="Times New Roman" w:eastAsia="仿宋_GB2312" w:cs="Times New Roman"/>
                <w:kern w:val="0"/>
                <w:sz w:val="24"/>
                <w:u w:color="000000"/>
              </w:rPr>
              <w:t>阶段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4"/>
                <w:u w:color="000000"/>
              </w:rPr>
            </w:pPr>
            <w:r>
              <w:rPr>
                <w:rFonts w:ascii="Times New Roman" w:hAnsi="Times New Roman" w:eastAsia="仿宋_GB2312" w:cs="Times New Roman"/>
                <w:kern w:val="0"/>
                <w:sz w:val="24"/>
                <w:u w:color="000000"/>
              </w:rPr>
              <w:t>约2周</w:t>
            </w:r>
          </w:p>
        </w:tc>
        <w:tc>
          <w:tcPr>
            <w:tcW w:w="5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105" w:leftChars="50"/>
              <w:jc w:val="both"/>
              <w:textAlignment w:val="auto"/>
              <w:rPr>
                <w:rFonts w:hint="eastAsia" w:ascii="Times New Roman" w:hAnsi="Times New Roman" w:eastAsia="仿宋_GB2312" w:cs="Times New Roman"/>
                <w:kern w:val="0"/>
                <w:sz w:val="24"/>
                <w:u w:color="000000"/>
                <w:lang w:eastAsia="zh-CN"/>
              </w:rPr>
            </w:pPr>
            <w:r>
              <w:rPr>
                <w:rFonts w:ascii="Times New Roman" w:hAnsi="Times New Roman" w:eastAsia="仿宋_GB2312" w:cs="Times New Roman"/>
                <w:kern w:val="0"/>
                <w:sz w:val="24"/>
                <w:u w:color="000000"/>
              </w:rPr>
              <w:t>1.发放培训通知，部署培训工作</w:t>
            </w:r>
            <w:r>
              <w:rPr>
                <w:rFonts w:hint="eastAsia" w:ascii="Times New Roman" w:hAnsi="Times New Roman" w:eastAsia="仿宋_GB2312" w:cs="Times New Roman"/>
                <w:kern w:val="0"/>
                <w:sz w:val="24"/>
                <w:u w:color="000000"/>
                <w:lang w:eastAsia="zh-CN"/>
              </w:rPr>
              <w:t>。</w:t>
            </w:r>
          </w:p>
          <w:p>
            <w:pPr>
              <w:keepNext w:val="0"/>
              <w:keepLines w:val="0"/>
              <w:pageBreakBefore w:val="0"/>
              <w:widowControl w:val="0"/>
              <w:kinsoku/>
              <w:wordWrap/>
              <w:overflowPunct/>
              <w:topLinePunct w:val="0"/>
              <w:autoSpaceDE/>
              <w:autoSpaceDN/>
              <w:bidi w:val="0"/>
              <w:adjustRightInd w:val="0"/>
              <w:snapToGrid w:val="0"/>
              <w:ind w:left="105" w:leftChars="50"/>
              <w:jc w:val="both"/>
              <w:textAlignment w:val="auto"/>
              <w:rPr>
                <w:rFonts w:hint="eastAsia" w:ascii="Times New Roman" w:hAnsi="Times New Roman" w:eastAsia="仿宋_GB2312" w:cs="Times New Roman"/>
                <w:kern w:val="0"/>
                <w:sz w:val="24"/>
                <w:u w:color="000000"/>
                <w:lang w:eastAsia="zh-CN"/>
              </w:rPr>
            </w:pPr>
            <w:r>
              <w:rPr>
                <w:rFonts w:ascii="Times New Roman" w:hAnsi="Times New Roman" w:eastAsia="仿宋_GB2312" w:cs="Times New Roman"/>
                <w:kern w:val="0"/>
                <w:sz w:val="24"/>
                <w:u w:color="000000"/>
              </w:rPr>
              <w:t>2.建立培训管理团队，进行训前指导</w:t>
            </w:r>
            <w:r>
              <w:rPr>
                <w:rFonts w:hint="eastAsia" w:ascii="Times New Roman" w:hAnsi="Times New Roman" w:eastAsia="仿宋_GB2312" w:cs="Times New Roman"/>
                <w:kern w:val="0"/>
                <w:sz w:val="24"/>
                <w:u w:color="000000"/>
                <w:lang w:eastAsia="zh-CN"/>
              </w:rPr>
              <w:t>。</w:t>
            </w:r>
          </w:p>
          <w:p>
            <w:pPr>
              <w:keepNext w:val="0"/>
              <w:keepLines w:val="0"/>
              <w:pageBreakBefore w:val="0"/>
              <w:widowControl w:val="0"/>
              <w:kinsoku/>
              <w:wordWrap/>
              <w:overflowPunct/>
              <w:topLinePunct w:val="0"/>
              <w:autoSpaceDE/>
              <w:autoSpaceDN/>
              <w:bidi w:val="0"/>
              <w:adjustRightInd w:val="0"/>
              <w:snapToGrid w:val="0"/>
              <w:ind w:left="105" w:leftChars="50"/>
              <w:jc w:val="both"/>
              <w:textAlignment w:val="auto"/>
              <w:rPr>
                <w:rFonts w:hint="eastAsia" w:ascii="Times New Roman" w:hAnsi="Times New Roman" w:eastAsia="仿宋_GB2312" w:cs="Times New Roman"/>
                <w:b w:val="0"/>
                <w:kern w:val="0"/>
                <w:sz w:val="24"/>
                <w:szCs w:val="22"/>
                <w:u w:color="000000"/>
                <w:lang w:val="en-US" w:eastAsia="zh-CN"/>
              </w:rPr>
            </w:pPr>
            <w:r>
              <w:rPr>
                <w:rFonts w:ascii="Times New Roman" w:hAnsi="Times New Roman" w:eastAsia="仿宋_GB2312" w:cs="Times New Roman"/>
                <w:kern w:val="0"/>
                <w:sz w:val="24"/>
                <w:u w:color="000000"/>
              </w:rPr>
              <w:t>3.学员实名</w:t>
            </w:r>
            <w:r>
              <w:rPr>
                <w:rFonts w:ascii="Times New Roman" w:hAnsi="Times New Roman" w:eastAsia="仿宋_GB2312" w:cs="Times New Roman"/>
                <w:b w:val="0"/>
                <w:kern w:val="0"/>
                <w:sz w:val="24"/>
                <w:szCs w:val="22"/>
                <w:u w:color="000000"/>
              </w:rPr>
              <w:t>注册，使用学习卡进入班级</w:t>
            </w:r>
            <w:r>
              <w:rPr>
                <w:rFonts w:hint="eastAsia" w:ascii="Times New Roman" w:hAnsi="Times New Roman" w:eastAsia="仿宋_GB2312" w:cs="Times New Roman"/>
                <w:b w:val="0"/>
                <w:kern w:val="0"/>
                <w:sz w:val="24"/>
                <w:szCs w:val="22"/>
                <w:u w:color="000000"/>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12"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4"/>
                <w:u w:color="000000"/>
              </w:rPr>
            </w:pPr>
            <w:r>
              <w:rPr>
                <w:rFonts w:ascii="Times New Roman" w:hAnsi="Times New Roman" w:eastAsia="仿宋_GB2312" w:cs="Times New Roman"/>
                <w:kern w:val="0"/>
                <w:sz w:val="24"/>
                <w:u w:color="000000"/>
              </w:rPr>
              <w:t>学习阶段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4"/>
                <w:u w:color="000000"/>
              </w:rPr>
            </w:pPr>
            <w:r>
              <w:rPr>
                <w:rFonts w:ascii="Times New Roman" w:hAnsi="Times New Roman" w:eastAsia="仿宋_GB2312" w:cs="Times New Roman"/>
                <w:kern w:val="0"/>
                <w:sz w:val="24"/>
                <w:u w:color="000000"/>
              </w:rPr>
              <w:t>约2个月</w:t>
            </w:r>
          </w:p>
        </w:tc>
        <w:tc>
          <w:tcPr>
            <w:tcW w:w="5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105" w:leftChars="50"/>
              <w:jc w:val="both"/>
              <w:textAlignment w:val="auto"/>
              <w:rPr>
                <w:rFonts w:hint="eastAsia" w:ascii="Times New Roman" w:hAnsi="Times New Roman" w:eastAsia="仿宋_GB2312" w:cs="Times New Roman"/>
                <w:kern w:val="0"/>
                <w:sz w:val="24"/>
                <w:u w:color="000000"/>
                <w:lang w:eastAsia="zh-CN"/>
              </w:rPr>
            </w:pPr>
            <w:r>
              <w:rPr>
                <w:rFonts w:ascii="Times New Roman" w:hAnsi="Times New Roman" w:eastAsia="仿宋_GB2312" w:cs="Times New Roman"/>
                <w:kern w:val="0"/>
                <w:sz w:val="24"/>
                <w:u w:color="000000"/>
              </w:rPr>
              <w:t>1.参训学员按照教学计划，完成规定课程学习，参与主题研讨，撰写学习心得，完成各项考核要求后在线打印学时证明</w:t>
            </w:r>
            <w:r>
              <w:rPr>
                <w:rFonts w:hint="eastAsia" w:ascii="Times New Roman" w:hAnsi="Times New Roman" w:eastAsia="仿宋_GB2312" w:cs="Times New Roman"/>
                <w:kern w:val="0"/>
                <w:sz w:val="24"/>
                <w:u w:color="000000"/>
                <w:lang w:eastAsia="zh-CN"/>
              </w:rPr>
              <w:t>。</w:t>
            </w:r>
          </w:p>
          <w:p>
            <w:pPr>
              <w:keepNext w:val="0"/>
              <w:keepLines w:val="0"/>
              <w:pageBreakBefore w:val="0"/>
              <w:widowControl w:val="0"/>
              <w:kinsoku/>
              <w:wordWrap/>
              <w:overflowPunct/>
              <w:topLinePunct w:val="0"/>
              <w:autoSpaceDE/>
              <w:autoSpaceDN/>
              <w:bidi w:val="0"/>
              <w:adjustRightInd w:val="0"/>
              <w:snapToGrid w:val="0"/>
              <w:ind w:left="105" w:leftChars="50"/>
              <w:jc w:val="both"/>
              <w:textAlignment w:val="auto"/>
              <w:rPr>
                <w:rFonts w:hint="eastAsia" w:ascii="Times New Roman" w:hAnsi="Times New Roman" w:eastAsia="仿宋_GB2312" w:cs="Times New Roman"/>
                <w:kern w:val="0"/>
                <w:sz w:val="24"/>
                <w:u w:color="000000"/>
                <w:lang w:eastAsia="zh-CN"/>
              </w:rPr>
            </w:pPr>
            <w:r>
              <w:rPr>
                <w:rFonts w:ascii="Times New Roman" w:hAnsi="Times New Roman" w:eastAsia="仿宋_GB2312" w:cs="Times New Roman"/>
                <w:kern w:val="0"/>
                <w:sz w:val="24"/>
                <w:u w:color="000000"/>
              </w:rPr>
              <w:t>2.参训单位加强统筹，做好培训中期的督学与促学工作</w:t>
            </w:r>
            <w:r>
              <w:rPr>
                <w:rFonts w:hint="eastAsia" w:ascii="Times New Roman" w:hAnsi="Times New Roman" w:eastAsia="仿宋_GB2312" w:cs="Times New Roman"/>
                <w:kern w:val="0"/>
                <w:sz w:val="24"/>
                <w:u w:color="000000"/>
                <w:lang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4"/>
                <w:u w:color="000000"/>
              </w:rPr>
            </w:pPr>
            <w:r>
              <w:rPr>
                <w:rFonts w:ascii="Times New Roman" w:hAnsi="Times New Roman" w:eastAsia="仿宋_GB2312" w:cs="Times New Roman"/>
                <w:kern w:val="0"/>
                <w:sz w:val="24"/>
                <w:u w:color="000000"/>
              </w:rPr>
              <w:t>总结阶段</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仿宋_GB2312" w:cs="Times New Roman"/>
                <w:kern w:val="0"/>
                <w:sz w:val="24"/>
                <w:u w:color="000000"/>
              </w:rPr>
            </w:pPr>
            <w:r>
              <w:rPr>
                <w:rFonts w:ascii="Times New Roman" w:hAnsi="Times New Roman" w:eastAsia="仿宋_GB2312" w:cs="Times New Roman"/>
                <w:kern w:val="0"/>
                <w:sz w:val="24"/>
                <w:u w:color="000000"/>
              </w:rPr>
              <w:t>约</w:t>
            </w:r>
            <w:r>
              <w:rPr>
                <w:rFonts w:hint="eastAsia" w:ascii="Times New Roman" w:hAnsi="Times New Roman" w:eastAsia="仿宋_GB2312" w:cs="Times New Roman"/>
                <w:kern w:val="0"/>
                <w:sz w:val="24"/>
                <w:u w:color="000000"/>
                <w:lang w:val="en-US" w:eastAsia="zh-CN"/>
              </w:rPr>
              <w:t>2</w:t>
            </w:r>
            <w:r>
              <w:rPr>
                <w:rFonts w:ascii="Times New Roman" w:hAnsi="Times New Roman" w:eastAsia="仿宋_GB2312" w:cs="Times New Roman"/>
                <w:kern w:val="0"/>
                <w:sz w:val="24"/>
                <w:u w:color="000000"/>
              </w:rPr>
              <w:t>周</w:t>
            </w:r>
          </w:p>
        </w:tc>
        <w:tc>
          <w:tcPr>
            <w:tcW w:w="5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left="105" w:leftChars="50"/>
              <w:jc w:val="both"/>
              <w:textAlignment w:val="auto"/>
              <w:rPr>
                <w:rFonts w:hint="eastAsia" w:ascii="Times New Roman" w:hAnsi="Times New Roman" w:eastAsia="仿宋_GB2312" w:cs="Times New Roman"/>
                <w:kern w:val="0"/>
                <w:sz w:val="24"/>
                <w:u w:color="000000"/>
                <w:lang w:eastAsia="zh-CN"/>
              </w:rPr>
            </w:pPr>
            <w:r>
              <w:rPr>
                <w:rFonts w:ascii="Times New Roman" w:hAnsi="Times New Roman" w:eastAsia="仿宋_GB2312" w:cs="Times New Roman"/>
                <w:kern w:val="0"/>
                <w:sz w:val="24"/>
                <w:u w:color="000000"/>
              </w:rPr>
              <w:t>开展培训评估与总结</w:t>
            </w:r>
            <w:r>
              <w:rPr>
                <w:rFonts w:hint="eastAsia" w:ascii="Times New Roman" w:hAnsi="Times New Roman" w:eastAsia="仿宋_GB2312" w:cs="Times New Roman"/>
                <w:kern w:val="0"/>
                <w:sz w:val="24"/>
                <w:u w:color="000000"/>
                <w:lang w:eastAsia="zh-CN"/>
              </w:rPr>
              <w:t>。</w:t>
            </w:r>
          </w:p>
        </w:tc>
      </w:tr>
    </w:tbl>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四、培训内容</w:t>
      </w:r>
    </w:p>
    <w:p>
      <w:pPr>
        <w:spacing w:line="360" w:lineRule="auto"/>
        <w:ind w:firstLine="560"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本次培训针对管理人员</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负责人员</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专业</w:t>
      </w:r>
      <w:r>
        <w:rPr>
          <w:rFonts w:hint="eastAsia" w:ascii="Times New Roman" w:hAnsi="Times New Roman" w:eastAsia="仿宋_GB2312" w:cs="Times New Roman"/>
          <w:color w:val="000000" w:themeColor="text1"/>
          <w:sz w:val="28"/>
          <w:szCs w:val="28"/>
          <w14:textFill>
            <w14:solidFill>
              <w14:schemeClr w14:val="tx1"/>
            </w14:solidFill>
          </w14:textFill>
        </w:rPr>
        <w:t>技术人员和教师三类对象，以“通识课程+按对象选学课程”的形式设置课程</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（课程详情见附件1）。</w:t>
      </w:r>
    </w:p>
    <w:p>
      <w:pPr>
        <w:spacing w:line="360" w:lineRule="auto"/>
        <w:ind w:firstLine="562"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“通识课程”</w:t>
      </w:r>
      <w:r>
        <w:rPr>
          <w:rFonts w:hint="eastAsia" w:ascii="Times New Roman" w:hAnsi="Times New Roman" w:eastAsia="仿宋_GB2312" w:cs="Times New Roman"/>
          <w:color w:val="000000" w:themeColor="text1"/>
          <w:sz w:val="28"/>
          <w:szCs w:val="28"/>
          <w14:textFill>
            <w14:solidFill>
              <w14:schemeClr w14:val="tx1"/>
            </w14:solidFill>
          </w14:textFill>
        </w:rPr>
        <w:t>围绕“教育信息化与网络安全形势分析”“教育信息化与网络安全政策解读”“教育信息化与网络安全素养提升”“教育信息化与网络安全规划实施”模块设置课程。</w:t>
      </w:r>
    </w:p>
    <w:p>
      <w:pPr>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“按对象选学课程”</w:t>
      </w:r>
      <w:r>
        <w:rPr>
          <w:rFonts w:hint="eastAsia" w:ascii="Times New Roman" w:hAnsi="Times New Roman" w:eastAsia="仿宋_GB2312" w:cs="Times New Roman"/>
          <w:color w:val="000000" w:themeColor="text1"/>
          <w:sz w:val="28"/>
          <w:szCs w:val="28"/>
          <w14:textFill>
            <w14:solidFill>
              <w14:schemeClr w14:val="tx1"/>
            </w14:solidFill>
          </w14:textFill>
        </w:rPr>
        <w:t>在通识课程基础上，管理人员围绕“网络安全舆情应对”“网络安全风险防范”模块选学课程；</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专业</w:t>
      </w:r>
      <w:r>
        <w:rPr>
          <w:rFonts w:hint="eastAsia" w:ascii="Times New Roman" w:hAnsi="Times New Roman" w:eastAsia="仿宋_GB2312" w:cs="Times New Roman"/>
          <w:color w:val="000000" w:themeColor="text1"/>
          <w:sz w:val="28"/>
          <w:szCs w:val="28"/>
          <w14:textFill>
            <w14:solidFill>
              <w14:schemeClr w14:val="tx1"/>
            </w14:solidFill>
          </w14:textFill>
        </w:rPr>
        <w:t>技术人员围绕“网络安全技术与防护”“信息系统开发与运营”模块选学课程；教师围绕“信息技术发展与教育变革”“信息技术与教学深度融合”模块选学课程。</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五、培训形式</w:t>
      </w:r>
    </w:p>
    <w:p>
      <w:pPr>
        <w:spacing w:line="360" w:lineRule="auto"/>
        <w:ind w:firstLine="560"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培训依托国家教育行政学院的中国教育干部网络学院（www.enaea.edu.cn）平台组织实施。参训学员在中国教育干部网络学院进行实名注册，登录后使用统一发放的学习卡参加学习（已注册过的学员可直接登录并使用学习卡），也可以直接下载移动客户端（学习公社APP）随时登录学习。</w:t>
      </w:r>
    </w:p>
    <w:p>
      <w:pPr>
        <w:spacing w:line="360" w:lineRule="auto"/>
        <w:ind w:firstLine="562"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kern w:val="2"/>
          <w:sz w:val="28"/>
          <w:szCs w:val="28"/>
          <w:u w:color="000000"/>
          <w:lang w:val="en-US" w:eastAsia="zh-CN" w:bidi="ar-SA"/>
          <w14:textFill>
            <w14:solidFill>
              <w14:schemeClr w14:val="tx1"/>
            </w14:solidFill>
          </w14:textFill>
        </w:rPr>
        <w:t>1.</w:t>
      </w:r>
      <w:r>
        <w:rPr>
          <w:rFonts w:hint="eastAsia" w:ascii="Times New Roman" w:hAnsi="Times New Roman" w:eastAsia="仿宋_GB2312" w:cs="Times New Roman"/>
          <w:b/>
          <w:bCs/>
          <w:color w:val="000000" w:themeColor="text1"/>
          <w:sz w:val="28"/>
          <w:szCs w:val="28"/>
          <w14:textFill>
            <w14:solidFill>
              <w14:schemeClr w14:val="tx1"/>
            </w14:solidFill>
          </w14:textFill>
        </w:rPr>
        <w:t>在线学习：</w:t>
      </w:r>
      <w:r>
        <w:rPr>
          <w:rFonts w:hint="eastAsia" w:ascii="Times New Roman" w:hAnsi="Times New Roman" w:eastAsia="仿宋_GB2312" w:cs="黑体"/>
          <w:color w:val="000000" w:themeColor="text1"/>
          <w:sz w:val="28"/>
          <w:szCs w:val="28"/>
          <w14:textFill>
            <w14:solidFill>
              <w14:schemeClr w14:val="tx1"/>
            </w14:solidFill>
          </w14:textFill>
        </w:rPr>
        <w:t>培训期间，</w:t>
      </w:r>
      <w:r>
        <w:rPr>
          <w:rFonts w:hint="eastAsia" w:ascii="Times New Roman" w:hAnsi="Times New Roman" w:eastAsia="仿宋_GB2312" w:cs="Times New Roman"/>
          <w:color w:val="000000" w:themeColor="text1"/>
          <w:sz w:val="28"/>
          <w:szCs w:val="28"/>
          <w14:textFill>
            <w14:solidFill>
              <w14:schemeClr w14:val="tx1"/>
            </w14:solidFill>
          </w14:textFill>
        </w:rPr>
        <w:t>参训学员</w:t>
      </w:r>
      <w:r>
        <w:rPr>
          <w:rFonts w:hint="eastAsia" w:ascii="Times New Roman" w:hAnsi="Times New Roman" w:eastAsia="仿宋_GB2312" w:cs="Times New Roman"/>
          <w:color w:val="000000" w:themeColor="text1"/>
          <w:sz w:val="28"/>
          <w:szCs w:val="28"/>
          <w:lang w:val="zh-TW"/>
          <w14:textFill>
            <w14:solidFill>
              <w14:schemeClr w14:val="tx1"/>
            </w14:solidFill>
          </w14:textFill>
        </w:rPr>
        <w:t>需完成不少于</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20</w:t>
      </w:r>
      <w:r>
        <w:rPr>
          <w:rFonts w:hint="eastAsia" w:ascii="Times New Roman" w:hAnsi="Times New Roman" w:eastAsia="仿宋_GB2312" w:cs="Times New Roman"/>
          <w:color w:val="000000" w:themeColor="text1"/>
          <w:sz w:val="28"/>
          <w:szCs w:val="28"/>
          <w:lang w:val="zh-TW"/>
          <w14:textFill>
            <w14:solidFill>
              <w14:schemeClr w14:val="tx1"/>
            </w14:solidFill>
          </w14:textFill>
        </w:rPr>
        <w:t>学时</w:t>
      </w:r>
      <w:r>
        <w:rPr>
          <w:rFonts w:hint="eastAsia" w:ascii="Times New Roman" w:hAnsi="Times New Roman" w:eastAsia="仿宋_GB2312" w:cs="Times New Roman"/>
          <w:color w:val="000000" w:themeColor="text1"/>
          <w:sz w:val="28"/>
          <w:szCs w:val="28"/>
          <w14:textFill>
            <w14:solidFill>
              <w14:schemeClr w14:val="tx1"/>
            </w14:solidFill>
          </w14:textFill>
        </w:rPr>
        <w:t>（45分钟/学时）</w:t>
      </w:r>
      <w:r>
        <w:rPr>
          <w:rFonts w:hint="eastAsia" w:ascii="Times New Roman" w:hAnsi="Times New Roman" w:eastAsia="仿宋_GB2312" w:cs="Times New Roman"/>
          <w:color w:val="000000" w:themeColor="text1"/>
          <w:sz w:val="28"/>
          <w:szCs w:val="28"/>
          <w:lang w:val="zh-TW"/>
          <w14:textFill>
            <w14:solidFill>
              <w14:schemeClr w14:val="tx1"/>
            </w14:solidFill>
          </w14:textFill>
        </w:rPr>
        <w:t>的</w:t>
      </w:r>
      <w:r>
        <w:rPr>
          <w:rFonts w:hint="eastAsia" w:ascii="Times New Roman" w:hAnsi="Times New Roman" w:eastAsia="仿宋_GB2312" w:cs="Times New Roman"/>
          <w:color w:val="000000" w:themeColor="text1"/>
          <w:sz w:val="28"/>
          <w:szCs w:val="28"/>
          <w14:textFill>
            <w14:solidFill>
              <w14:schemeClr w14:val="tx1"/>
            </w14:solidFill>
          </w14:textFill>
        </w:rPr>
        <w:t>通识课程和不少于</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w:t>
      </w:r>
      <w:r>
        <w:rPr>
          <w:rFonts w:hint="eastAsia" w:ascii="Times New Roman" w:hAnsi="Times New Roman" w:eastAsia="仿宋_GB2312" w:cs="Times New Roman"/>
          <w:color w:val="000000" w:themeColor="text1"/>
          <w:sz w:val="28"/>
          <w:szCs w:val="28"/>
          <w14:textFill>
            <w14:solidFill>
              <w14:schemeClr w14:val="tx1"/>
            </w14:solidFill>
          </w14:textFill>
        </w:rPr>
        <w:t>学时（45分钟/学时）的按对象选学课程，累计完成不少于30学时（45分钟/学时）视频课程学习任务。</w:t>
      </w:r>
    </w:p>
    <w:p>
      <w:pPr>
        <w:pStyle w:val="18"/>
        <w:tabs>
          <w:tab w:val="left" w:pos="3119"/>
        </w:tabs>
        <w:spacing w:line="360" w:lineRule="auto"/>
        <w:ind w:firstLine="601"/>
        <w:rPr>
          <w:rFonts w:ascii="Times New Roman" w:hAnsi="Times New Roman" w:eastAsia="仿宋_GB2312" w:cs="仿宋_GB2312"/>
          <w:color w:val="000000" w:themeColor="text1"/>
          <w:kern w:val="0"/>
          <w:sz w:val="28"/>
          <w:szCs w:val="28"/>
          <w14:textFill>
            <w14:solidFill>
              <w14:schemeClr w14:val="tx1"/>
            </w14:solidFill>
          </w14:textFill>
        </w:rPr>
      </w:pPr>
      <w:r>
        <w:rPr>
          <w:rFonts w:hint="eastAsia" w:ascii="Times New Roman" w:hAnsi="Times New Roman" w:eastAsia="仿宋_GB2312" w:cs="Times New Roman"/>
          <w:b/>
          <w:bCs/>
          <w:color w:val="000000" w:themeColor="text1"/>
          <w:kern w:val="2"/>
          <w:sz w:val="28"/>
          <w:szCs w:val="28"/>
          <w:lang w:val="en-US" w:eastAsia="zh-CN" w:bidi="ar-SA"/>
          <w14:textFill>
            <w14:solidFill>
              <w14:schemeClr w14:val="tx1"/>
            </w14:solidFill>
          </w14:textFill>
        </w:rPr>
        <w:t>2.</w:t>
      </w:r>
      <w:r>
        <w:rPr>
          <w:rFonts w:hint="eastAsia" w:ascii="Times New Roman" w:hAnsi="Times New Roman" w:eastAsia="仿宋_GB2312" w:cs="仿宋_GB2312"/>
          <w:b/>
          <w:bCs/>
          <w:color w:val="000000" w:themeColor="text1"/>
          <w:sz w:val="28"/>
          <w:szCs w:val="28"/>
          <w14:textFill>
            <w14:solidFill>
              <w14:schemeClr w14:val="tx1"/>
            </w14:solidFill>
          </w14:textFill>
        </w:rPr>
        <w:t>主题</w:t>
      </w:r>
      <w:r>
        <w:rPr>
          <w:rFonts w:hint="eastAsia" w:ascii="Times New Roman" w:hAnsi="Times New Roman" w:eastAsia="仿宋_GB2312" w:cs="仿宋_GB2312"/>
          <w:b/>
          <w:bCs/>
          <w:color w:val="000000" w:themeColor="text1"/>
          <w:sz w:val="28"/>
          <w:szCs w:val="28"/>
          <w:lang w:val="zh-TW" w:eastAsia="zh-TW"/>
          <w14:textFill>
            <w14:solidFill>
              <w14:schemeClr w14:val="tx1"/>
            </w14:solidFill>
          </w14:textFill>
        </w:rPr>
        <w:t>研讨</w:t>
      </w:r>
      <w:r>
        <w:rPr>
          <w:rFonts w:hint="eastAsia" w:ascii="Times New Roman" w:hAnsi="Times New Roman" w:eastAsia="仿宋_GB2312" w:cs="仿宋_GB2312"/>
          <w:b/>
          <w:bCs/>
          <w:color w:val="000000" w:themeColor="text1"/>
          <w:sz w:val="28"/>
          <w:szCs w:val="28"/>
          <w:lang w:val="zh-TW" w:eastAsia="zh-CN"/>
          <w14:textFill>
            <w14:solidFill>
              <w14:schemeClr w14:val="tx1"/>
            </w14:solidFill>
          </w14:textFill>
        </w:rPr>
        <w:t>：</w:t>
      </w:r>
      <w:r>
        <w:rPr>
          <w:rFonts w:hint="eastAsia" w:ascii="Times New Roman" w:hAnsi="Times New Roman" w:eastAsia="仿宋_GB2312" w:cs="黑体"/>
          <w:color w:val="000000" w:themeColor="text1"/>
          <w:sz w:val="28"/>
          <w:szCs w:val="28"/>
          <w14:textFill>
            <w14:solidFill>
              <w14:schemeClr w14:val="tx1"/>
            </w14:solidFill>
          </w14:textFill>
        </w:rPr>
        <w:t>培训期间，参训学员在班级管理员的组织下，</w:t>
      </w:r>
      <w:r>
        <w:rPr>
          <w:rFonts w:hint="eastAsia" w:ascii="Times New Roman" w:hAnsi="Times New Roman" w:eastAsia="仿宋_GB2312" w:cs="黑体"/>
          <w:color w:val="000000" w:themeColor="text1"/>
          <w:sz w:val="28"/>
          <w:szCs w:val="28"/>
          <w:lang w:val="zh-TW"/>
          <w14:textFill>
            <w14:solidFill>
              <w14:schemeClr w14:val="tx1"/>
            </w14:solidFill>
          </w14:textFill>
        </w:rPr>
        <w:t>管理人员、</w:t>
      </w:r>
      <w:r>
        <w:rPr>
          <w:rFonts w:hint="eastAsia" w:ascii="Times New Roman" w:hAnsi="Times New Roman" w:eastAsia="仿宋_GB2312" w:cs="黑体"/>
          <w:color w:val="000000" w:themeColor="text1"/>
          <w:sz w:val="28"/>
          <w:szCs w:val="28"/>
          <w:lang w:val="en-US" w:eastAsia="zh-CN"/>
          <w14:textFill>
            <w14:solidFill>
              <w14:schemeClr w14:val="tx1"/>
            </w14:solidFill>
          </w14:textFill>
        </w:rPr>
        <w:t>专业</w:t>
      </w:r>
      <w:r>
        <w:rPr>
          <w:rFonts w:hint="eastAsia" w:ascii="Times New Roman" w:hAnsi="Times New Roman" w:eastAsia="仿宋_GB2312" w:cs="黑体"/>
          <w:color w:val="000000" w:themeColor="text1"/>
          <w:sz w:val="28"/>
          <w:szCs w:val="28"/>
          <w:lang w:val="zh-TW"/>
          <w14:textFill>
            <w14:solidFill>
              <w14:schemeClr w14:val="tx1"/>
            </w14:solidFill>
          </w14:textFill>
        </w:rPr>
        <w:t>技术人员、教师分别围绕</w:t>
      </w:r>
      <w:r>
        <w:rPr>
          <w:rFonts w:hint="eastAsia" w:ascii="Times New Roman" w:hAnsi="Times New Roman" w:eastAsia="仿宋_GB2312" w:cs="黑体"/>
          <w:color w:val="000000" w:themeColor="text1"/>
          <w:sz w:val="28"/>
          <w:szCs w:val="28"/>
          <w:lang w:val="zh-TW" w:eastAsia="zh-TW"/>
          <w14:textFill>
            <w14:solidFill>
              <w14:schemeClr w14:val="tx1"/>
            </w14:solidFill>
          </w14:textFill>
        </w:rPr>
        <w:t>“</w:t>
      </w:r>
      <w:r>
        <w:rPr>
          <w:rFonts w:hint="eastAsia" w:ascii="Times New Roman" w:hAnsi="Times New Roman" w:eastAsia="仿宋_GB2312" w:cs="黑体"/>
          <w:color w:val="000000" w:themeColor="text1"/>
          <w:sz w:val="28"/>
          <w:szCs w:val="28"/>
          <w:lang w:val="en-US" w:eastAsia="zh-CN"/>
          <w14:textFill>
            <w14:solidFill>
              <w14:schemeClr w14:val="tx1"/>
            </w14:solidFill>
          </w14:textFill>
        </w:rPr>
        <w:t>如何加强</w:t>
      </w:r>
      <w:r>
        <w:rPr>
          <w:rFonts w:hint="eastAsia" w:ascii="Times New Roman" w:hAnsi="Times New Roman" w:eastAsia="仿宋_GB2312" w:cs="黑体"/>
          <w:color w:val="000000" w:themeColor="text1"/>
          <w:sz w:val="28"/>
          <w:szCs w:val="28"/>
          <w:lang w:val="zh-TW"/>
          <w14:textFill>
            <w14:solidFill>
              <w14:schemeClr w14:val="tx1"/>
            </w14:solidFill>
          </w14:textFill>
        </w:rPr>
        <w:t>网络安全</w:t>
      </w:r>
      <w:r>
        <w:rPr>
          <w:rFonts w:hint="eastAsia" w:ascii="Times New Roman" w:hAnsi="Times New Roman" w:eastAsia="仿宋_GB2312" w:cs="黑体"/>
          <w:color w:val="000000" w:themeColor="text1"/>
          <w:sz w:val="28"/>
          <w:szCs w:val="28"/>
          <w:lang w:val="en-US" w:eastAsia="zh-CN"/>
          <w14:textFill>
            <w14:solidFill>
              <w14:schemeClr w14:val="tx1"/>
            </w14:solidFill>
          </w14:textFill>
        </w:rPr>
        <w:t>风险防范工作</w:t>
      </w:r>
      <w:r>
        <w:rPr>
          <w:rFonts w:hint="eastAsia" w:ascii="Times New Roman" w:hAnsi="Times New Roman" w:eastAsia="仿宋_GB2312" w:cs="黑体"/>
          <w:color w:val="000000" w:themeColor="text1"/>
          <w:sz w:val="28"/>
          <w:szCs w:val="28"/>
          <w:lang w:val="zh-TW" w:eastAsia="zh-TW"/>
          <w14:textFill>
            <w14:solidFill>
              <w14:schemeClr w14:val="tx1"/>
            </w14:solidFill>
          </w14:textFill>
        </w:rPr>
        <w:t>”</w:t>
      </w:r>
      <w:r>
        <w:rPr>
          <w:rFonts w:hint="eastAsia" w:ascii="Times New Roman" w:hAnsi="Times New Roman" w:eastAsia="仿宋_GB2312" w:cs="黑体"/>
          <w:color w:val="000000" w:themeColor="text1"/>
          <w:sz w:val="28"/>
          <w:szCs w:val="28"/>
          <w:lang w:val="zh-TW"/>
          <w14:textFill>
            <w14:solidFill>
              <w14:schemeClr w14:val="tx1"/>
            </w14:solidFill>
          </w14:textFill>
        </w:rPr>
        <w:t>“网络安全</w:t>
      </w:r>
      <w:r>
        <w:rPr>
          <w:rFonts w:hint="eastAsia" w:ascii="Times New Roman" w:hAnsi="Times New Roman" w:eastAsia="仿宋_GB2312" w:cs="黑体"/>
          <w:color w:val="000000" w:themeColor="text1"/>
          <w:sz w:val="28"/>
          <w:szCs w:val="28"/>
          <w:lang w:val="en-US" w:eastAsia="zh-CN"/>
          <w14:textFill>
            <w14:solidFill>
              <w14:schemeClr w14:val="tx1"/>
            </w14:solidFill>
          </w14:textFill>
        </w:rPr>
        <w:t>防护实例</w:t>
      </w:r>
      <w:r>
        <w:rPr>
          <w:rFonts w:hint="eastAsia" w:ascii="Times New Roman" w:hAnsi="Times New Roman" w:eastAsia="仿宋_GB2312" w:cs="黑体"/>
          <w:color w:val="000000" w:themeColor="text1"/>
          <w:sz w:val="28"/>
          <w:szCs w:val="28"/>
          <w:lang w:val="zh-TW"/>
          <w14:textFill>
            <w14:solidFill>
              <w14:schemeClr w14:val="tx1"/>
            </w14:solidFill>
          </w14:textFill>
        </w:rPr>
        <w:t>”</w:t>
      </w:r>
      <w:r>
        <w:rPr>
          <w:rFonts w:hint="eastAsia" w:ascii="Times New Roman" w:hAnsi="Times New Roman" w:eastAsia="仿宋_GB2312" w:cs="黑体"/>
          <w:color w:val="000000" w:themeColor="text1"/>
          <w:sz w:val="28"/>
          <w:szCs w:val="28"/>
          <w:lang w:val="zh-TW" w:eastAsia="zh-TW"/>
          <w14:textFill>
            <w14:solidFill>
              <w14:schemeClr w14:val="tx1"/>
            </w14:solidFill>
          </w14:textFill>
        </w:rPr>
        <w:t>“</w:t>
      </w:r>
      <w:r>
        <w:rPr>
          <w:rFonts w:hint="eastAsia" w:ascii="Times New Roman" w:hAnsi="Times New Roman" w:eastAsia="仿宋_GB2312" w:cs="黑体"/>
          <w:color w:val="000000" w:themeColor="text1"/>
          <w:sz w:val="28"/>
          <w:szCs w:val="28"/>
          <w:lang w:val="en-US" w:eastAsia="zh-CN"/>
          <w14:textFill>
            <w14:solidFill>
              <w14:schemeClr w14:val="tx1"/>
            </w14:solidFill>
          </w14:textFill>
        </w:rPr>
        <w:t>课堂教学与网络安全的有机结合</w:t>
      </w:r>
      <w:r>
        <w:rPr>
          <w:rFonts w:hint="eastAsia" w:ascii="Times New Roman" w:hAnsi="Times New Roman" w:eastAsia="仿宋_GB2312" w:cs="黑体"/>
          <w:color w:val="000000" w:themeColor="text1"/>
          <w:sz w:val="28"/>
          <w:szCs w:val="28"/>
          <w:lang w:val="zh-TW" w:eastAsia="zh-TW"/>
          <w14:textFill>
            <w14:solidFill>
              <w14:schemeClr w14:val="tx1"/>
            </w14:solidFill>
          </w14:textFill>
        </w:rPr>
        <w:t>”等主题</w:t>
      </w:r>
      <w:r>
        <w:rPr>
          <w:rFonts w:hint="eastAsia" w:ascii="Times New Roman" w:hAnsi="Times New Roman" w:eastAsia="仿宋_GB2312" w:cs="黑体"/>
          <w:color w:val="000000" w:themeColor="text1"/>
          <w:sz w:val="28"/>
          <w:szCs w:val="28"/>
          <w:lang w:val="en-US" w:eastAsia="zh-CN"/>
          <w14:textFill>
            <w14:solidFill>
              <w14:schemeClr w14:val="tx1"/>
            </w14:solidFill>
          </w14:textFill>
        </w:rPr>
        <w:t>开展研讨。</w:t>
      </w:r>
    </w:p>
    <w:p>
      <w:pPr>
        <w:spacing w:line="360" w:lineRule="auto"/>
        <w:ind w:firstLine="562" w:firstLineChars="200"/>
        <w:rPr>
          <w:rFonts w:hint="eastAsia" w:ascii="Times New Roman" w:hAnsi="Times New Roman" w:eastAsia="仿宋_GB2312"/>
          <w:color w:val="000000" w:themeColor="text1"/>
          <w:sz w:val="28"/>
          <w:szCs w:val="28"/>
          <w:u w:color="000000"/>
          <w:lang w:val="zh-TW" w:eastAsia="zh-TW"/>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3</w:t>
      </w:r>
      <w:r>
        <w:rPr>
          <w:rFonts w:ascii="Times New Roman" w:hAnsi="Times New Roman" w:eastAsia="仿宋_GB2312" w:cs="Times New Roman"/>
          <w:b/>
          <w:bCs/>
          <w:color w:val="000000" w:themeColor="text1"/>
          <w:sz w:val="28"/>
          <w:szCs w:val="28"/>
          <w14:textFill>
            <w14:solidFill>
              <w14:schemeClr w14:val="tx1"/>
            </w14:solidFill>
          </w14:textFill>
        </w:rPr>
        <w:t>.</w:t>
      </w:r>
      <w:r>
        <w:rPr>
          <w:rFonts w:hint="eastAsia" w:ascii="Times New Roman" w:hAnsi="Times New Roman" w:eastAsia="仿宋_GB2312" w:cs="Times New Roman"/>
          <w:b/>
          <w:bCs/>
          <w:color w:val="000000" w:themeColor="text1"/>
          <w:sz w:val="28"/>
          <w:szCs w:val="28"/>
          <w14:textFill>
            <w14:solidFill>
              <w14:schemeClr w14:val="tx1"/>
            </w14:solidFill>
          </w14:textFill>
        </w:rPr>
        <w:t>研修总结：</w:t>
      </w:r>
      <w:r>
        <w:rPr>
          <w:rFonts w:hint="eastAsia" w:ascii="Times New Roman" w:hAnsi="Times New Roman" w:eastAsia="仿宋_GB2312" w:cs="黑体"/>
          <w:color w:val="000000" w:themeColor="text1"/>
          <w:sz w:val="28"/>
          <w:szCs w:val="28"/>
          <w14:textFill>
            <w14:solidFill>
              <w14:schemeClr w14:val="tx1"/>
            </w14:solidFill>
          </w14:textFill>
        </w:rPr>
        <w:t>培训</w:t>
      </w:r>
      <w:r>
        <w:rPr>
          <w:rFonts w:hint="eastAsia" w:ascii="Times New Roman" w:hAnsi="Times New Roman" w:eastAsia="仿宋_GB2312" w:cs="黑体"/>
          <w:color w:val="000000" w:themeColor="text1"/>
          <w:sz w:val="28"/>
          <w:szCs w:val="28"/>
          <w:lang w:val="en-US" w:eastAsia="zh-CN"/>
          <w14:textFill>
            <w14:solidFill>
              <w14:schemeClr w14:val="tx1"/>
            </w14:solidFill>
          </w14:textFill>
        </w:rPr>
        <w:t>后期</w:t>
      </w:r>
      <w:r>
        <w:rPr>
          <w:rFonts w:hint="eastAsia" w:ascii="Times New Roman" w:hAnsi="Times New Roman" w:eastAsia="仿宋_GB2312" w:cs="黑体"/>
          <w:color w:val="000000" w:themeColor="text1"/>
          <w:sz w:val="28"/>
          <w:szCs w:val="28"/>
          <w14:textFill>
            <w14:solidFill>
              <w14:schemeClr w14:val="tx1"/>
            </w14:solidFill>
          </w14:textFill>
        </w:rPr>
        <w:t>，</w:t>
      </w:r>
      <w:r>
        <w:rPr>
          <w:rFonts w:hint="eastAsia" w:ascii="Times New Roman" w:hAnsi="Times New Roman" w:eastAsia="仿宋_GB2312" w:cs="黑体"/>
          <w:color w:val="000000" w:themeColor="text1"/>
          <w:sz w:val="28"/>
          <w:szCs w:val="28"/>
          <w:lang w:val="en-US" w:eastAsia="zh-CN"/>
          <w14:textFill>
            <w14:solidFill>
              <w14:schemeClr w14:val="tx1"/>
            </w14:solidFill>
          </w14:textFill>
        </w:rPr>
        <w:t>鼓励</w:t>
      </w:r>
      <w:r>
        <w:rPr>
          <w:rFonts w:hint="eastAsia" w:ascii="Times New Roman" w:hAnsi="Times New Roman" w:eastAsia="仿宋_GB2312"/>
          <w:color w:val="000000" w:themeColor="text1"/>
          <w:sz w:val="28"/>
          <w:szCs w:val="28"/>
          <w:u w:color="000000"/>
          <w:lang w:val="zh-TW" w:eastAsia="zh-TW"/>
          <w14:textFill>
            <w14:solidFill>
              <w14:schemeClr w14:val="tx1"/>
            </w14:solidFill>
          </w14:textFill>
        </w:rPr>
        <w:t>参训学员结合培训目标、培训内容和自身工作实际，撰写一篇学习心得作为本次培训的</w:t>
      </w:r>
      <w:r>
        <w:rPr>
          <w:rFonts w:hint="eastAsia" w:ascii="Times New Roman" w:hAnsi="Times New Roman" w:eastAsia="仿宋_GB2312"/>
          <w:color w:val="000000" w:themeColor="text1"/>
          <w:sz w:val="28"/>
          <w:szCs w:val="28"/>
          <w:u w:color="000000"/>
          <w:lang w:val="en-US" w:eastAsia="zh-CN"/>
          <w14:textFill>
            <w14:solidFill>
              <w14:schemeClr w14:val="tx1"/>
            </w14:solidFill>
          </w14:textFill>
        </w:rPr>
        <w:t>研修总结</w:t>
      </w:r>
      <w:r>
        <w:rPr>
          <w:rFonts w:hint="eastAsia" w:ascii="Times New Roman" w:hAnsi="Times New Roman" w:eastAsia="仿宋_GB2312"/>
          <w:color w:val="000000" w:themeColor="text1"/>
          <w:sz w:val="28"/>
          <w:szCs w:val="28"/>
          <w:u w:color="000000"/>
          <w:lang w:val="zh-TW" w:eastAsia="zh-TW"/>
          <w14:textFill>
            <w14:solidFill>
              <w14:schemeClr w14:val="tx1"/>
            </w14:solidFill>
          </w14:textFill>
        </w:rPr>
        <w:t>。</w:t>
      </w:r>
      <w:r>
        <w:rPr>
          <w:rFonts w:hint="eastAsia" w:ascii="Times New Roman" w:hAnsi="Times New Roman" w:eastAsia="仿宋_GB2312"/>
          <w:color w:val="000000" w:themeColor="text1"/>
          <w:sz w:val="28"/>
          <w:szCs w:val="28"/>
          <w:u w:color="000000"/>
          <w:lang w:val="en-US" w:eastAsia="zh-CN"/>
          <w14:textFill>
            <w14:solidFill>
              <w14:schemeClr w14:val="tx1"/>
            </w14:solidFill>
          </w14:textFill>
        </w:rPr>
        <w:t>研修总结</w:t>
      </w:r>
      <w:r>
        <w:rPr>
          <w:rFonts w:hint="eastAsia" w:ascii="Times New Roman" w:hAnsi="Times New Roman" w:eastAsia="仿宋_GB2312"/>
          <w:color w:val="000000" w:themeColor="text1"/>
          <w:sz w:val="28"/>
          <w:szCs w:val="28"/>
          <w:u w:color="000000"/>
          <w:lang w:val="zh-TW" w:eastAsia="zh-TW"/>
          <w14:textFill>
            <w14:solidFill>
              <w14:schemeClr w14:val="tx1"/>
            </w14:solidFill>
          </w14:textFill>
        </w:rPr>
        <w:t>要求主题鲜明、条理清晰、结构完整、逻辑严谨，字数不少于</w:t>
      </w:r>
      <w:r>
        <w:rPr>
          <w:rFonts w:hint="eastAsia" w:ascii="Times New Roman" w:hAnsi="Times New Roman" w:eastAsia="仿宋_GB2312"/>
          <w:color w:val="000000" w:themeColor="text1"/>
          <w:sz w:val="28"/>
          <w:szCs w:val="28"/>
          <w:u w:color="000000"/>
          <w14:textFill>
            <w14:solidFill>
              <w14:schemeClr w14:val="tx1"/>
            </w14:solidFill>
          </w14:textFill>
        </w:rPr>
        <w:t>8</w:t>
      </w:r>
      <w:r>
        <w:rPr>
          <w:rFonts w:hint="eastAsia" w:ascii="Times New Roman" w:hAnsi="Times New Roman" w:eastAsia="仿宋_GB2312"/>
          <w:color w:val="000000" w:themeColor="text1"/>
          <w:sz w:val="28"/>
          <w:szCs w:val="28"/>
          <w:u w:color="000000"/>
          <w:lang w:val="zh-TW" w:eastAsia="zh-TW"/>
          <w14:textFill>
            <w14:solidFill>
              <w14:schemeClr w14:val="tx1"/>
            </w14:solidFill>
          </w14:textFill>
        </w:rPr>
        <w:t>00字。</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六、培训考核</w:t>
      </w:r>
    </w:p>
    <w:p>
      <w:pPr>
        <w:spacing w:line="360" w:lineRule="auto"/>
        <w:ind w:firstLine="560" w:firstLineChars="200"/>
        <w:rPr>
          <w:rFonts w:hint="eastAsia" w:ascii="Times New Roman" w:hAnsi="Times New Roman" w:eastAsia="仿宋_GB2312" w:cs="Times New Roman"/>
          <w:color w:val="auto"/>
          <w:kern w:val="2"/>
          <w:sz w:val="28"/>
          <w:szCs w:val="28"/>
          <w:u w:color="000000"/>
          <w:lang w:val="en-US" w:eastAsia="zh-CN" w:bidi="ar-SA"/>
        </w:rPr>
      </w:pPr>
      <w:r>
        <w:rPr>
          <w:rFonts w:hint="eastAsia" w:ascii="Times New Roman" w:hAnsi="Times New Roman" w:eastAsia="仿宋_GB2312" w:cs="Times New Roman"/>
          <w:color w:val="auto"/>
          <w:kern w:val="2"/>
          <w:sz w:val="28"/>
          <w:szCs w:val="28"/>
          <w:u w:color="000000"/>
          <w:lang w:val="en-US" w:eastAsia="zh-CN" w:bidi="ar-SA"/>
        </w:rPr>
        <w:t>为确保培训质量和培训效果，确定以“基于任务”和“关注过程”为原则的考核方法，培训将从过程性与获得感两个维度对党员进行考核，完成培训各项考核要求的学员可在线打印学时证明，所学学时计入继续教育培训学时。</w:t>
      </w:r>
    </w:p>
    <w:p>
      <w:pPr>
        <w:pStyle w:val="2"/>
        <w:rPr>
          <w:rFonts w:hint="eastAsia"/>
          <w:lang w:val="en-US" w:eastAsia="zh-CN"/>
        </w:rPr>
      </w:pP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150"/>
        <w:gridCol w:w="2050"/>
        <w:gridCol w:w="210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504" w:type="dxa"/>
            <w:gridSpan w:val="5"/>
            <w:vAlign w:val="center"/>
          </w:tcPr>
          <w:p>
            <w:pPr>
              <w:spacing w:line="240" w:lineRule="auto"/>
              <w:contextualSpacing/>
              <w:jc w:val="center"/>
              <w:rPr>
                <w:rFonts w:hint="eastAsia" w:ascii="Times New Roman" w:hAnsi="Times New Roman" w:eastAsia="仿宋_GB2312"/>
                <w:b/>
                <w:sz w:val="24"/>
                <w:szCs w:val="24"/>
                <w:highlight w:val="none"/>
                <w:lang w:eastAsia="zh-CN"/>
              </w:rPr>
            </w:pPr>
            <w:r>
              <w:rPr>
                <w:rFonts w:ascii="Times New Roman" w:hAnsi="Times New Roman" w:eastAsia="仿宋_GB2312"/>
                <w:b/>
                <w:sz w:val="24"/>
                <w:szCs w:val="24"/>
                <w:highlight w:val="none"/>
              </w:rPr>
              <w:t>考核</w:t>
            </w:r>
            <w:r>
              <w:rPr>
                <w:rFonts w:hint="eastAsia" w:ascii="Times New Roman" w:hAnsi="Times New Roman" w:eastAsia="仿宋_GB2312"/>
                <w:b/>
                <w:sz w:val="24"/>
                <w:szCs w:val="24"/>
                <w:highlight w:val="none"/>
                <w:lang w:eastAsia="zh-CN"/>
              </w:rPr>
              <w:t>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1421" w:type="dxa"/>
            <w:vAlign w:val="center"/>
          </w:tcPr>
          <w:p>
            <w:pPr>
              <w:spacing w:line="240" w:lineRule="auto"/>
              <w:contextualSpacing/>
              <w:jc w:val="center"/>
              <w:rPr>
                <w:rFonts w:hint="eastAsia" w:ascii="Times New Roman" w:hAnsi="Times New Roman" w:eastAsia="仿宋_GB2312"/>
                <w:b/>
                <w:bCs/>
                <w:sz w:val="24"/>
                <w:szCs w:val="24"/>
                <w:highlight w:val="none"/>
                <w:lang w:eastAsia="zh-CN"/>
              </w:rPr>
            </w:pPr>
            <w:r>
              <w:rPr>
                <w:rFonts w:ascii="Times New Roman" w:hAnsi="Times New Roman" w:eastAsia="仿宋_GB2312" w:cs="Times New Roman"/>
                <w:b/>
                <w:sz w:val="24"/>
                <w:szCs w:val="24"/>
                <w:highlight w:val="yellow"/>
              </w:rPr>
              <w:br w:type="page"/>
            </w:r>
            <w:r>
              <w:rPr>
                <w:rFonts w:ascii="Times New Roman" w:hAnsi="Times New Roman" w:eastAsia="仿宋_GB2312" w:cs="Times New Roman"/>
                <w:b/>
                <w:sz w:val="24"/>
                <w:szCs w:val="24"/>
                <w:highlight w:val="none"/>
              </w:rPr>
              <w:t>考核维度</w:t>
            </w:r>
          </w:p>
        </w:tc>
        <w:tc>
          <w:tcPr>
            <w:tcW w:w="2150" w:type="dxa"/>
            <w:vAlign w:val="center"/>
          </w:tcPr>
          <w:p>
            <w:pPr>
              <w:spacing w:line="240" w:lineRule="auto"/>
              <w:contextualSpacing/>
              <w:jc w:val="center"/>
              <w:rPr>
                <w:rFonts w:hint="eastAsia" w:ascii="Times New Roman" w:hAnsi="Times New Roman" w:eastAsia="仿宋_GB2312"/>
                <w:b/>
                <w:bCs/>
                <w:sz w:val="24"/>
                <w:szCs w:val="24"/>
                <w:highlight w:val="none"/>
                <w:lang w:eastAsia="zh-CN"/>
              </w:rPr>
            </w:pPr>
            <w:r>
              <w:rPr>
                <w:rFonts w:hint="eastAsia" w:ascii="Times New Roman" w:hAnsi="Times New Roman" w:eastAsia="仿宋_GB2312"/>
                <w:b/>
                <w:bCs/>
                <w:sz w:val="24"/>
                <w:szCs w:val="24"/>
                <w:highlight w:val="none"/>
                <w:lang w:eastAsia="zh-CN"/>
              </w:rPr>
              <w:t>管理干部</w:t>
            </w:r>
          </w:p>
        </w:tc>
        <w:tc>
          <w:tcPr>
            <w:tcW w:w="2050" w:type="dxa"/>
            <w:vAlign w:val="center"/>
          </w:tcPr>
          <w:p>
            <w:pPr>
              <w:spacing w:line="240" w:lineRule="auto"/>
              <w:contextualSpacing/>
              <w:jc w:val="center"/>
              <w:rPr>
                <w:rFonts w:hint="eastAsia" w:ascii="Times New Roman" w:hAnsi="Times New Roman" w:eastAsia="仿宋_GB2312"/>
                <w:b/>
                <w:bCs/>
                <w:sz w:val="24"/>
                <w:szCs w:val="24"/>
                <w:highlight w:val="none"/>
                <w:lang w:eastAsia="zh-CN"/>
              </w:rPr>
            </w:pPr>
            <w:r>
              <w:rPr>
                <w:rFonts w:hint="eastAsia" w:ascii="Times New Roman" w:hAnsi="Times New Roman" w:eastAsia="仿宋_GB2312"/>
                <w:b/>
                <w:bCs/>
                <w:sz w:val="24"/>
                <w:szCs w:val="24"/>
                <w:highlight w:val="none"/>
                <w:lang w:eastAsia="zh-CN"/>
              </w:rPr>
              <w:t>技术人员</w:t>
            </w:r>
          </w:p>
        </w:tc>
        <w:tc>
          <w:tcPr>
            <w:tcW w:w="2100" w:type="dxa"/>
            <w:vAlign w:val="center"/>
          </w:tcPr>
          <w:p>
            <w:pPr>
              <w:spacing w:line="240" w:lineRule="auto"/>
              <w:contextualSpacing/>
              <w:jc w:val="center"/>
              <w:rPr>
                <w:rFonts w:hint="eastAsia" w:ascii="Times New Roman" w:hAnsi="Times New Roman" w:eastAsia="仿宋_GB2312"/>
                <w:b/>
                <w:bCs/>
                <w:sz w:val="24"/>
                <w:szCs w:val="24"/>
                <w:highlight w:val="none"/>
                <w:lang w:eastAsia="zh-CN"/>
              </w:rPr>
            </w:pPr>
            <w:r>
              <w:rPr>
                <w:rFonts w:hint="eastAsia" w:ascii="Times New Roman" w:hAnsi="Times New Roman" w:eastAsia="仿宋_GB2312"/>
                <w:b/>
                <w:bCs/>
                <w:sz w:val="24"/>
                <w:szCs w:val="24"/>
                <w:highlight w:val="none"/>
                <w:lang w:eastAsia="zh-CN"/>
              </w:rPr>
              <w:t>专职教师</w:t>
            </w:r>
          </w:p>
        </w:tc>
        <w:tc>
          <w:tcPr>
            <w:tcW w:w="783" w:type="dxa"/>
            <w:vAlign w:val="center"/>
          </w:tcPr>
          <w:p>
            <w:pPr>
              <w:spacing w:line="240" w:lineRule="auto"/>
              <w:contextualSpacing/>
              <w:jc w:val="center"/>
              <w:rPr>
                <w:rFonts w:hint="eastAsia" w:ascii="Times New Roman" w:hAnsi="Times New Roman" w:eastAsia="仿宋_GB2312"/>
                <w:b/>
                <w:bCs/>
                <w:sz w:val="24"/>
                <w:szCs w:val="24"/>
                <w:highlight w:val="none"/>
                <w:lang w:val="en-US" w:eastAsia="zh-CN"/>
              </w:rPr>
            </w:pPr>
            <w:r>
              <w:rPr>
                <w:rFonts w:hint="eastAsia" w:ascii="Times New Roman" w:hAnsi="Times New Roman" w:eastAsia="仿宋_GB2312"/>
                <w:b/>
                <w:bCs/>
                <w:sz w:val="24"/>
                <w:szCs w:val="24"/>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421" w:type="dxa"/>
            <w:vMerge w:val="restart"/>
            <w:vAlign w:val="center"/>
          </w:tcPr>
          <w:p>
            <w:pPr>
              <w:spacing w:line="240" w:lineRule="auto"/>
              <w:contextualSpacing/>
              <w:jc w:val="center"/>
              <w:rPr>
                <w:rFonts w:ascii="Times New Roman" w:hAnsi="Times New Roman" w:eastAsia="仿宋_GB2312"/>
                <w:b/>
                <w:bCs/>
                <w:sz w:val="24"/>
                <w:szCs w:val="24"/>
                <w:highlight w:val="none"/>
              </w:rPr>
            </w:pPr>
            <w:r>
              <w:rPr>
                <w:rFonts w:hint="eastAsia" w:ascii="Times New Roman" w:hAnsi="Times New Roman" w:eastAsia="仿宋_GB2312"/>
                <w:b/>
                <w:bCs/>
                <w:sz w:val="24"/>
                <w:szCs w:val="21"/>
                <w:highlight w:val="none"/>
                <w:lang w:val="en-US" w:eastAsia="zh-CN"/>
              </w:rPr>
              <w:t>过程考核</w:t>
            </w:r>
          </w:p>
        </w:tc>
        <w:tc>
          <w:tcPr>
            <w:tcW w:w="6300" w:type="dxa"/>
            <w:gridSpan w:val="3"/>
            <w:vAlign w:val="center"/>
          </w:tcPr>
          <w:p>
            <w:pPr>
              <w:spacing w:line="240" w:lineRule="auto"/>
              <w:contextualSpacing/>
              <w:rPr>
                <w:rFonts w:ascii="Times New Roman" w:hAnsi="Times New Roman" w:eastAsia="仿宋_GB2312"/>
                <w:sz w:val="24"/>
                <w:szCs w:val="24"/>
                <w:highlight w:val="none"/>
                <w:lang w:eastAsia="zh-CN"/>
              </w:rPr>
            </w:pPr>
            <w:r>
              <w:rPr>
                <w:rFonts w:ascii="Times New Roman" w:hAnsi="Times New Roman" w:eastAsia="仿宋_GB2312"/>
                <w:b/>
                <w:bCs/>
                <w:sz w:val="24"/>
                <w:szCs w:val="21"/>
                <w:highlight w:val="none"/>
              </w:rPr>
              <w:t>课程学习</w:t>
            </w:r>
            <w:r>
              <w:rPr>
                <w:rFonts w:hint="eastAsia" w:ascii="Times New Roman" w:hAnsi="Times New Roman" w:eastAsia="仿宋_GB2312"/>
                <w:b/>
                <w:bCs/>
                <w:sz w:val="24"/>
                <w:szCs w:val="21"/>
                <w:highlight w:val="none"/>
                <w:lang w:eastAsia="zh-CN"/>
              </w:rPr>
              <w:t>：</w:t>
            </w:r>
            <w:r>
              <w:rPr>
                <w:rFonts w:hint="eastAsia" w:ascii="Times New Roman" w:hAnsi="Times New Roman" w:eastAsia="仿宋_GB2312"/>
                <w:sz w:val="24"/>
                <w:szCs w:val="24"/>
                <w:highlight w:val="none"/>
                <w:lang w:eastAsia="zh-CN"/>
              </w:rPr>
              <w:t>参训学员需完成不少于20学时（45分钟/学时）的通识课程和不少于10学时（45分钟/学时）的按对象选学课程，累计完成不少于30学时（45分钟/学时）视频课程学习任务。</w:t>
            </w:r>
          </w:p>
        </w:tc>
        <w:tc>
          <w:tcPr>
            <w:tcW w:w="783" w:type="dxa"/>
            <w:vAlign w:val="center"/>
          </w:tcPr>
          <w:p>
            <w:pPr>
              <w:keepNext w:val="0"/>
              <w:keepLines w:val="0"/>
              <w:pageBreakBefore w:val="0"/>
              <w:widowControl/>
              <w:kinsoku/>
              <w:wordWrap/>
              <w:overflowPunct/>
              <w:topLinePunct w:val="0"/>
              <w:autoSpaceDE/>
              <w:autoSpaceDN/>
              <w:bidi w:val="0"/>
              <w:adjustRightInd/>
              <w:spacing w:line="360" w:lineRule="auto"/>
              <w:contextualSpacing/>
              <w:jc w:val="center"/>
              <w:textAlignment w:val="auto"/>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1"/>
                <w:highlight w:val="none"/>
                <w:lang w:val="en-US" w:eastAsia="zh-CN"/>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421" w:type="dxa"/>
            <w:vMerge w:val="continue"/>
            <w:vAlign w:val="center"/>
          </w:tcPr>
          <w:p>
            <w:pPr>
              <w:spacing w:line="240" w:lineRule="auto"/>
              <w:contextualSpacing/>
              <w:jc w:val="center"/>
              <w:rPr>
                <w:rFonts w:ascii="Times New Roman" w:hAnsi="Times New Roman" w:eastAsia="仿宋_GB2312"/>
                <w:b/>
                <w:bCs/>
                <w:sz w:val="24"/>
                <w:szCs w:val="24"/>
                <w:highlight w:val="none"/>
              </w:rPr>
            </w:pPr>
          </w:p>
        </w:tc>
        <w:tc>
          <w:tcPr>
            <w:tcW w:w="6300" w:type="dxa"/>
            <w:gridSpan w:val="3"/>
            <w:vAlign w:val="center"/>
          </w:tcPr>
          <w:p>
            <w:pPr>
              <w:snapToGrid w:val="0"/>
              <w:spacing w:line="240" w:lineRule="auto"/>
              <w:rPr>
                <w:rFonts w:ascii="Times New Roman" w:hAnsi="Times New Roman" w:eastAsia="仿宋_GB2312"/>
                <w:sz w:val="24"/>
                <w:szCs w:val="24"/>
                <w:highlight w:val="none"/>
                <w:lang w:eastAsia="zh-CN"/>
              </w:rPr>
            </w:pPr>
            <w:r>
              <w:rPr>
                <w:rFonts w:hint="eastAsia" w:ascii="Times New Roman" w:hAnsi="Times New Roman" w:eastAsia="仿宋_GB2312"/>
                <w:b/>
                <w:bCs/>
                <w:sz w:val="24"/>
                <w:szCs w:val="21"/>
                <w:highlight w:val="none"/>
                <w:lang w:val="en-US" w:eastAsia="zh-CN"/>
              </w:rPr>
              <w:t>主题研讨：</w:t>
            </w:r>
            <w:r>
              <w:rPr>
                <w:rFonts w:hint="eastAsia" w:ascii="Times New Roman" w:hAnsi="Times New Roman" w:eastAsia="仿宋_GB2312"/>
                <w:sz w:val="24"/>
                <w:szCs w:val="24"/>
                <w:highlight w:val="none"/>
                <w:lang w:val="en-US" w:eastAsia="zh-CN"/>
              </w:rPr>
              <w:t>管理人员、专业技术人员、教师分别围绕“如何加强网络安全风险防范工作”“网络安全防护实例”“课堂教学与网络安全的有机结合”等主题完成不少于2条的线上研讨。</w:t>
            </w:r>
          </w:p>
        </w:tc>
        <w:tc>
          <w:tcPr>
            <w:tcW w:w="783"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421" w:type="dxa"/>
            <w:vAlign w:val="center"/>
          </w:tcPr>
          <w:p>
            <w:pPr>
              <w:spacing w:line="240" w:lineRule="auto"/>
              <w:contextualSpacing/>
              <w:jc w:val="center"/>
              <w:rPr>
                <w:rFonts w:ascii="Times New Roman" w:hAnsi="Times New Roman" w:eastAsia="仿宋_GB2312"/>
                <w:b/>
                <w:bCs/>
                <w:sz w:val="24"/>
                <w:szCs w:val="24"/>
                <w:highlight w:val="none"/>
              </w:rPr>
            </w:pPr>
            <w:r>
              <w:rPr>
                <w:rFonts w:hint="eastAsia" w:ascii="Times New Roman" w:hAnsi="Times New Roman" w:eastAsia="仿宋_GB2312"/>
                <w:b/>
                <w:bCs/>
                <w:sz w:val="24"/>
                <w:szCs w:val="21"/>
                <w:highlight w:val="none"/>
                <w:lang w:val="en-US" w:eastAsia="zh-CN"/>
              </w:rPr>
              <w:t>结业考核</w:t>
            </w:r>
          </w:p>
        </w:tc>
        <w:tc>
          <w:tcPr>
            <w:tcW w:w="6300" w:type="dxa"/>
            <w:gridSpan w:val="3"/>
            <w:vAlign w:val="center"/>
          </w:tcPr>
          <w:p>
            <w:pPr>
              <w:snapToGrid w:val="0"/>
              <w:spacing w:line="240" w:lineRule="auto"/>
              <w:rPr>
                <w:rFonts w:ascii="Times New Roman" w:hAnsi="Times New Roman" w:eastAsia="仿宋_GB2312"/>
                <w:sz w:val="24"/>
                <w:szCs w:val="24"/>
                <w:highlight w:val="none"/>
                <w:lang w:eastAsia="zh-CN"/>
              </w:rPr>
            </w:pPr>
            <w:r>
              <w:rPr>
                <w:rFonts w:hint="eastAsia" w:ascii="Times New Roman" w:hAnsi="Times New Roman" w:eastAsia="仿宋_GB2312"/>
                <w:b/>
                <w:bCs/>
                <w:sz w:val="24"/>
                <w:szCs w:val="21"/>
                <w:highlight w:val="none"/>
              </w:rPr>
              <w:t>研修总结</w:t>
            </w:r>
            <w:r>
              <w:rPr>
                <w:rFonts w:hint="eastAsia" w:ascii="Times New Roman" w:hAnsi="Times New Roman" w:eastAsia="仿宋_GB2312"/>
                <w:b/>
                <w:bCs/>
                <w:sz w:val="24"/>
                <w:szCs w:val="21"/>
                <w:highlight w:val="none"/>
                <w:lang w:eastAsia="zh-CN"/>
              </w:rPr>
              <w:t>：</w:t>
            </w:r>
            <w:r>
              <w:rPr>
                <w:rFonts w:hint="eastAsia" w:ascii="Times New Roman" w:hAnsi="Times New Roman" w:eastAsia="仿宋_GB2312"/>
                <w:sz w:val="24"/>
                <w:szCs w:val="24"/>
                <w:highlight w:val="none"/>
                <w:lang w:eastAsia="zh-CN"/>
              </w:rPr>
              <w:t>结合培训目标、培训内容和自身工作实际，撰写一篇心得体会作为本次培训的研修总结。要求主题鲜明、条理清晰、结构完整、逻辑严谨，字数不少于</w:t>
            </w:r>
            <w:r>
              <w:rPr>
                <w:rFonts w:hint="eastAsia" w:ascii="Times New Roman" w:hAnsi="Times New Roman" w:eastAsia="仿宋_GB2312"/>
                <w:sz w:val="24"/>
                <w:szCs w:val="24"/>
                <w:highlight w:val="none"/>
                <w:lang w:val="en-US" w:eastAsia="zh-CN"/>
              </w:rPr>
              <w:t>10</w:t>
            </w:r>
            <w:r>
              <w:rPr>
                <w:rFonts w:hint="eastAsia" w:ascii="Times New Roman" w:hAnsi="Times New Roman" w:eastAsia="仿宋_GB2312"/>
                <w:sz w:val="24"/>
                <w:szCs w:val="24"/>
                <w:highlight w:val="none"/>
                <w:lang w:eastAsia="zh-CN"/>
              </w:rPr>
              <w:t>00字。</w:t>
            </w:r>
          </w:p>
        </w:tc>
        <w:tc>
          <w:tcPr>
            <w:tcW w:w="783" w:type="dxa"/>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imes New Roman" w:hAnsi="Times New Roman" w:eastAsia="仿宋_GB2312"/>
                <w:sz w:val="24"/>
                <w:szCs w:val="24"/>
                <w:highlight w:val="none"/>
                <w:lang w:val="en-US" w:eastAsia="zh-CN"/>
              </w:rPr>
            </w:pPr>
            <w:r>
              <w:rPr>
                <w:rFonts w:hint="eastAsia" w:ascii="Times New Roman" w:hAnsi="Times New Roman" w:eastAsia="仿宋_GB2312"/>
                <w:sz w:val="24"/>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blHeader/>
          <w:jc w:val="center"/>
        </w:trPr>
        <w:tc>
          <w:tcPr>
            <w:tcW w:w="8504" w:type="dxa"/>
            <w:gridSpan w:val="5"/>
            <w:vAlign w:val="center"/>
          </w:tcPr>
          <w:p>
            <w:pPr>
              <w:snapToGrid w:val="0"/>
              <w:spacing w:line="240" w:lineRule="auto"/>
              <w:jc w:val="left"/>
              <w:rPr>
                <w:rFonts w:hint="eastAsia" w:ascii="Times New Roman" w:hAnsi="Times New Roman" w:eastAsia="楷体"/>
                <w:sz w:val="21"/>
                <w:szCs w:val="21"/>
                <w:highlight w:val="none"/>
                <w:lang w:val="en-US" w:eastAsia="zh-CN"/>
              </w:rPr>
            </w:pPr>
            <w:r>
              <w:rPr>
                <w:rFonts w:hint="eastAsia" w:ascii="楷体" w:hAnsi="楷体" w:eastAsia="楷体" w:cs="Times New Roman"/>
                <w:b/>
                <w:sz w:val="24"/>
                <w:szCs w:val="24"/>
              </w:rPr>
              <w:t>说明：</w:t>
            </w:r>
            <w:r>
              <w:rPr>
                <w:rFonts w:hint="eastAsia" w:ascii="楷体" w:hAnsi="楷体" w:eastAsia="楷体" w:cs="Times New Roman"/>
                <w:sz w:val="24"/>
                <w:szCs w:val="24"/>
              </w:rPr>
              <w:t>完成各项培训考核要求且总成绩达到</w:t>
            </w:r>
            <w:r>
              <w:rPr>
                <w:rFonts w:ascii="Times New Roman" w:hAnsi="Times New Roman" w:eastAsia="楷体" w:cs="Times New Roman"/>
                <w:sz w:val="24"/>
                <w:szCs w:val="24"/>
              </w:rPr>
              <w:t>90</w:t>
            </w:r>
            <w:r>
              <w:rPr>
                <w:rFonts w:hint="eastAsia" w:ascii="楷体" w:hAnsi="楷体" w:eastAsia="楷体" w:cs="Times New Roman"/>
                <w:sz w:val="24"/>
                <w:szCs w:val="24"/>
              </w:rPr>
              <w:t>分的学员可在线打印学时证明，学习时长可计入继续教育培训学时</w:t>
            </w:r>
            <w:r>
              <w:rPr>
                <w:rFonts w:hint="eastAsia" w:ascii="楷体" w:hAnsi="楷体" w:eastAsia="楷体" w:cs="Times New Roman"/>
                <w:sz w:val="24"/>
                <w:szCs w:val="24"/>
                <w:lang w:eastAsia="zh-CN"/>
              </w:rPr>
              <w:t>。</w:t>
            </w:r>
          </w:p>
        </w:tc>
      </w:tr>
    </w:tbl>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七、组织实施</w:t>
      </w:r>
    </w:p>
    <w:p>
      <w:pPr>
        <w:spacing w:line="360" w:lineRule="auto"/>
        <w:ind w:firstLine="562" w:firstLineChars="200"/>
        <w:rPr>
          <w:rFonts w:hint="eastAsia"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14:textFill>
            <w14:solidFill>
              <w14:schemeClr w14:val="tx1"/>
            </w14:solidFill>
          </w14:textFill>
        </w:rPr>
        <w:t>1.工作团队。</w:t>
      </w:r>
      <w:r>
        <w:rPr>
          <w:rFonts w:hint="eastAsia" w:ascii="Times New Roman" w:hAnsi="Times New Roman" w:eastAsia="仿宋_GB2312" w:cs="Times New Roman"/>
          <w:color w:val="auto"/>
          <w:kern w:val="2"/>
          <w:sz w:val="28"/>
          <w:szCs w:val="28"/>
          <w:u w:color="000000"/>
          <w:lang w:val="en-US" w:eastAsia="zh-CN" w:bidi="ar-SA"/>
        </w:rPr>
        <w:t>国家教育行政学院成立培训项目工作组，负责培训方案的设计与具体实施工作，工作组下设项目管理、资源建设、教学管理、技术保障等人员，确保网络培训工作的顺利开展取得实效。</w:t>
      </w:r>
      <w:r>
        <w:rPr>
          <w:rFonts w:hint="eastAsia" w:ascii="Times New Roman" w:hAnsi="Times New Roman" w:eastAsia="仿宋_GB2312" w:cs="Times New Roman"/>
          <w:color w:val="000000" w:themeColor="text1"/>
          <w:sz w:val="28"/>
          <w:szCs w:val="28"/>
          <w14:textFill>
            <w14:solidFill>
              <w14:schemeClr w14:val="tx1"/>
            </w14:solidFill>
          </w14:textFill>
        </w:rPr>
        <w:br w:type="textWrapping"/>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28"/>
          <w:szCs w:val="28"/>
          <w14:textFill>
            <w14:solidFill>
              <w14:schemeClr w14:val="tx1"/>
            </w14:solidFill>
          </w14:textFill>
        </w:rPr>
        <w:t>2.组织管理。</w:t>
      </w:r>
      <w:r>
        <w:rPr>
          <w:rFonts w:hint="eastAsia" w:ascii="Times New Roman" w:hAnsi="Times New Roman" w:eastAsia="仿宋_GB2312" w:cs="Times New Roman"/>
          <w:color w:val="000000" w:themeColor="text1"/>
          <w:sz w:val="28"/>
          <w:szCs w:val="28"/>
          <w14:textFill>
            <w14:solidFill>
              <w14:schemeClr w14:val="tx1"/>
            </w14:solidFill>
          </w14:textFill>
        </w:rPr>
        <w:t>培训以学校为单位组建班级，以班级为单位开展各项教学活动，每班需设置班级管理员1名，负责本班的教学与研讨活动的组织实施，班级管理员建议由培训组织部门相关负责同志担任。</w:t>
      </w:r>
    </w:p>
    <w:p>
      <w:pPr>
        <w:bidi w:val="0"/>
        <w:rPr>
          <w:rFonts w:hint="default"/>
          <w:lang w:val="en-US" w:eastAsia="zh-CN"/>
        </w:rPr>
      </w:pPr>
    </w:p>
    <w:p>
      <w:pPr>
        <w:spacing w:line="360" w:lineRule="auto"/>
        <w:ind w:firstLine="560" w:firstLineChars="200"/>
        <w:rPr>
          <w:rFonts w:hint="default" w:ascii="Times New Roman" w:hAnsi="Times New Roman" w:eastAsia="仿宋_GB2312"/>
          <w:sz w:val="28"/>
          <w:szCs w:val="28"/>
          <w:u w:color="000000"/>
          <w:lang w:val="en-US" w:eastAsia="zh-CN"/>
        </w:rPr>
      </w:pPr>
      <w:bookmarkStart w:id="0" w:name="_Toc8186"/>
      <w:bookmarkStart w:id="1" w:name="_Toc23271"/>
      <w:r>
        <w:rPr>
          <w:rFonts w:hint="eastAsia" w:ascii="Times New Roman" w:hAnsi="Times New Roman" w:eastAsia="仿宋_GB2312"/>
          <w:sz w:val="28"/>
          <w:szCs w:val="28"/>
          <w:u w:color="000000"/>
          <w:lang w:val="zh-TW" w:eastAsia="zh-TW"/>
        </w:rPr>
        <w:t>附件：1.通识课程列表</w:t>
      </w:r>
      <w:bookmarkEnd w:id="0"/>
      <w:bookmarkEnd w:id="1"/>
    </w:p>
    <w:p>
      <w:pPr>
        <w:spacing w:line="360" w:lineRule="auto"/>
        <w:ind w:firstLine="1400" w:firstLineChars="500"/>
        <w:rPr>
          <w:rFonts w:ascii="Times New Roman" w:hAnsi="Times New Roman" w:eastAsia="仿宋_GB2312"/>
          <w:sz w:val="28"/>
          <w:szCs w:val="28"/>
          <w:u w:color="000000"/>
          <w:lang w:val="zh-TW" w:eastAsia="zh-TW"/>
        </w:rPr>
      </w:pPr>
      <w:bookmarkStart w:id="2" w:name="_Toc22432"/>
      <w:bookmarkStart w:id="3" w:name="_Toc13991"/>
      <w:r>
        <w:rPr>
          <w:rFonts w:hint="eastAsia" w:ascii="Times New Roman" w:hAnsi="Times New Roman" w:eastAsia="仿宋_GB2312"/>
          <w:sz w:val="28"/>
          <w:szCs w:val="28"/>
          <w:u w:color="000000"/>
          <w:lang w:val="zh-TW" w:eastAsia="zh-TW"/>
        </w:rPr>
        <w:t>2.管理人员选学课程列表</w:t>
      </w:r>
      <w:bookmarkEnd w:id="2"/>
      <w:bookmarkEnd w:id="3"/>
    </w:p>
    <w:p>
      <w:pPr>
        <w:spacing w:line="360" w:lineRule="auto"/>
        <w:ind w:firstLine="1400" w:firstLineChars="500"/>
        <w:rPr>
          <w:rFonts w:ascii="Times New Roman" w:hAnsi="Times New Roman" w:eastAsia="仿宋_GB2312"/>
          <w:sz w:val="28"/>
          <w:szCs w:val="28"/>
          <w:u w:color="000000"/>
          <w:lang w:val="zh-TW" w:eastAsia="zh-TW"/>
        </w:rPr>
      </w:pPr>
      <w:bookmarkStart w:id="4" w:name="_Toc19160"/>
      <w:bookmarkStart w:id="5" w:name="_Toc24723"/>
      <w:r>
        <w:rPr>
          <w:rFonts w:hint="eastAsia" w:ascii="Times New Roman" w:hAnsi="Times New Roman" w:eastAsia="仿宋_GB2312"/>
          <w:sz w:val="28"/>
          <w:szCs w:val="28"/>
          <w:u w:color="000000"/>
          <w:lang w:val="zh-TW" w:eastAsia="zh-TW"/>
        </w:rPr>
        <w:t>3.</w:t>
      </w:r>
      <w:bookmarkEnd w:id="4"/>
      <w:bookmarkEnd w:id="5"/>
      <w:r>
        <w:rPr>
          <w:rFonts w:hint="eastAsia" w:ascii="Times New Roman" w:hAnsi="Times New Roman" w:eastAsia="仿宋_GB2312"/>
          <w:sz w:val="28"/>
          <w:szCs w:val="28"/>
          <w:u w:color="000000"/>
          <w:lang w:val="en-US" w:eastAsia="zh-CN"/>
        </w:rPr>
        <w:t>专业</w:t>
      </w:r>
      <w:r>
        <w:rPr>
          <w:rFonts w:hint="eastAsia" w:ascii="Times New Roman" w:hAnsi="Times New Roman" w:eastAsia="仿宋_GB2312"/>
          <w:sz w:val="28"/>
          <w:szCs w:val="28"/>
          <w:u w:color="000000"/>
          <w:lang w:val="zh-TW" w:eastAsia="zh-TW"/>
        </w:rPr>
        <w:t>技术人员选学课程列表</w:t>
      </w:r>
    </w:p>
    <w:p>
      <w:pPr>
        <w:spacing w:line="360" w:lineRule="auto"/>
        <w:ind w:firstLine="1400" w:firstLineChars="500"/>
        <w:rPr>
          <w:rFonts w:hint="eastAsia" w:ascii="Times New Roman" w:hAnsi="Times New Roman" w:eastAsia="仿宋_GB2312"/>
          <w:sz w:val="28"/>
          <w:szCs w:val="28"/>
          <w:u w:color="000000"/>
          <w:lang w:val="zh-TW" w:eastAsia="zh-TW"/>
        </w:rPr>
      </w:pPr>
      <w:r>
        <w:rPr>
          <w:rFonts w:hint="eastAsia" w:ascii="Times New Roman" w:hAnsi="Times New Roman" w:eastAsia="仿宋_GB2312"/>
          <w:sz w:val="28"/>
          <w:szCs w:val="28"/>
          <w:u w:color="000000"/>
          <w:lang w:val="zh-TW" w:eastAsia="zh-TW"/>
        </w:rPr>
        <w:t>4.教师选学课程列表</w:t>
      </w:r>
    </w:p>
    <w:p>
      <w:pPr>
        <w:spacing w:line="360" w:lineRule="auto"/>
        <w:ind w:firstLine="1385" w:firstLineChars="500"/>
        <w:rPr>
          <w:rFonts w:ascii="Times New Roman" w:hAnsi="Times New Roman" w:eastAsia="仿宋_GB2312" w:cs="Times New Roman"/>
          <w:sz w:val="24"/>
        </w:rPr>
      </w:pPr>
      <w:r>
        <w:rPr>
          <w:rFonts w:hint="eastAsia" w:ascii="Times New Roman" w:hAnsi="Times New Roman" w:eastAsia="仿宋_GB2312" w:cs="Times New Roman"/>
          <w:w w:val="99"/>
          <w:kern w:val="0"/>
          <w:sz w:val="28"/>
          <w:szCs w:val="28"/>
          <w:u w:color="000000"/>
          <w:lang w:val="en-US" w:eastAsia="zh-CN"/>
        </w:rPr>
        <w:t>5.第四期高校教育信息化与网络安全专题网络培训报名表</w:t>
      </w:r>
      <w:r>
        <w:rPr>
          <w:rFonts w:ascii="Times New Roman" w:hAnsi="Times New Roman" w:eastAsia="仿宋_GB2312" w:cs="Times New Roman"/>
          <w:sz w:val="24"/>
        </w:rPr>
        <w:br w:type="page"/>
      </w:r>
    </w:p>
    <w:p>
      <w:pPr>
        <w:spacing w:line="360" w:lineRule="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spacing w:line="360" w:lineRule="auto"/>
        <w:jc w:val="center"/>
        <w:rPr>
          <w:rFonts w:hint="eastAsia" w:ascii="方正小标宋简体" w:hAnsi="Times New Roman" w:eastAsia="方正小标宋简体" w:cs="Times New Roman"/>
          <w:color w:val="000000" w:themeColor="text1"/>
          <w:sz w:val="32"/>
          <w:szCs w:val="32"/>
          <w14:textFill>
            <w14:solidFill>
              <w14:schemeClr w14:val="tx1"/>
            </w14:solidFill>
          </w14:textFill>
        </w:rPr>
      </w:pPr>
      <w:r>
        <w:rPr>
          <w:rFonts w:hint="eastAsia" w:ascii="方正小标宋简体" w:hAnsi="Times New Roman" w:eastAsia="方正小标宋简体" w:cs="Times New Roman"/>
          <w:color w:val="000000" w:themeColor="text1"/>
          <w:sz w:val="32"/>
          <w:szCs w:val="32"/>
          <w14:textFill>
            <w14:solidFill>
              <w14:schemeClr w14:val="tx1"/>
            </w14:solidFill>
          </w14:textFill>
        </w:rPr>
        <w:t>通识课程列表</w:t>
      </w:r>
    </w:p>
    <w:tbl>
      <w:tblPr>
        <w:tblStyle w:val="6"/>
        <w:tblW w:w="879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9"/>
        <w:gridCol w:w="3135"/>
        <w:gridCol w:w="804"/>
        <w:gridCol w:w="298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43"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课程</w:t>
            </w:r>
          </w:p>
          <w:p>
            <w:pPr>
              <w:widowControl/>
              <w:jc w:val="center"/>
              <w:textAlignment w:val="center"/>
              <w:rPr>
                <w:rFonts w:ascii="Times New Roman" w:hAnsi="Times New Roman" w:eastAsia="仿宋_GB2312" w:cs="仿宋"/>
                <w:bCs/>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模块</w:t>
            </w:r>
          </w:p>
        </w:tc>
        <w:tc>
          <w:tcPr>
            <w:tcW w:w="1782"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课程名称</w:t>
            </w:r>
          </w:p>
        </w:tc>
        <w:tc>
          <w:tcPr>
            <w:tcW w:w="457"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主讲人</w:t>
            </w:r>
          </w:p>
        </w:tc>
        <w:tc>
          <w:tcPr>
            <w:tcW w:w="1696"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主讲人简介</w:t>
            </w:r>
          </w:p>
        </w:tc>
        <w:tc>
          <w:tcPr>
            <w:tcW w:w="619"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时长</w:t>
            </w:r>
          </w:p>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trPr>
        <w:tc>
          <w:tcPr>
            <w:tcW w:w="443" w:type="pct"/>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教育</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信息</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化与</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网络</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安全</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形势</w:t>
            </w:r>
          </w:p>
          <w:p>
            <w:pPr>
              <w:keepNext w:val="0"/>
              <w:keepLines w:val="0"/>
              <w:widowControl/>
              <w:suppressLineNumbers w:val="0"/>
              <w:spacing w:line="240" w:lineRule="auto"/>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分析</w:t>
            </w: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学习习近平总书记在在中央网络安全和信息化工作座谈会上重要讲话精神</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宁家骏</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国家信息中心专家委员会副主任</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习近平总书记关于网络强国战略的论述</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秦  安</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中国网络空间战略研究所所长</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网络安全人才需求及缺口分析</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殷国强</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北京中安国发信息技术研究院专家</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人工智能眼中的大数据技术</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钟义信</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中国人工智能学会前理事长、发展中世界工程技术科学院院士</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443" w:type="pct"/>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教育</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信息</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化与</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网络</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安全</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政策</w:t>
            </w:r>
          </w:p>
          <w:p>
            <w:pPr>
              <w:keepNext w:val="0"/>
              <w:keepLines w:val="0"/>
              <w:widowControl/>
              <w:suppressLineNumbers w:val="0"/>
              <w:spacing w:line="240" w:lineRule="auto"/>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解读</w:t>
            </w: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教育系统网络安全政策解读</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潘润凯</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教育部科技司</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维护网络空间主权、安全和发展利益的法治保障——《中华人民共和国网络安全法》介绍</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高  飞</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全国人大常委会法制工作委员会</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网络安全等级保护2.0标准体系和主要标准</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马  力</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公安部信息安全等级保护评估中心研究员</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个人信息保护和刑法（第二百八十六、二百八十七条）、保密法等内容解读</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唐俊飞</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北京铭学思诚科技有限公司资深讲师，网络安全专家</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443" w:type="pct"/>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教育</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信息</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化与</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网络</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安全</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素养</w:t>
            </w:r>
          </w:p>
          <w:p>
            <w:pPr>
              <w:keepNext w:val="0"/>
              <w:keepLines w:val="0"/>
              <w:widowControl/>
              <w:suppressLineNumbers w:val="0"/>
              <w:spacing w:line="240" w:lineRule="auto"/>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提升</w:t>
            </w: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 xml:space="preserve">以科学的网络安全观营造清朗的网络空间 </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沈昌祥</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中国工程院院士</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全球传播时代的网络文化与意识形态</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史安斌</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清华大学新闻与传播学院副院长、教授</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国家数据安全政策和标准</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陈兴蜀</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四川大学网络空间安全学院常务副院长</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法治思维下数据安全保护工作</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洪延青</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北京大学互联网发展研究中心研究员</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trPr>
        <w:tc>
          <w:tcPr>
            <w:tcW w:w="443" w:type="pct"/>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教育</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信息</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化与</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网络</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安全</w:t>
            </w:r>
          </w:p>
          <w:p>
            <w:pPr>
              <w:keepNext w:val="0"/>
              <w:keepLines w:val="0"/>
              <w:widowControl/>
              <w:suppressLineNumbers w:val="0"/>
              <w:spacing w:line="240" w:lineRule="auto"/>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规划</w:t>
            </w:r>
          </w:p>
          <w:p>
            <w:pPr>
              <w:keepNext w:val="0"/>
              <w:keepLines w:val="0"/>
              <w:widowControl/>
              <w:suppressLineNumbers w:val="0"/>
              <w:spacing w:line="240" w:lineRule="auto"/>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 xml:space="preserve">实施 </w:t>
            </w: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信息化助力高校管理与服务方式变革——以华东师范大学为例</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沈富可</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华东师范大学信息化办公室主任</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网络学习空间建设与应用</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郭  炯</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西北师范大学教授</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新技术环境下网络安全及保密体系建设</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白  宇</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公安部网络安全保卫局处长</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443" w:type="pct"/>
            <w:vMerge w:val="continue"/>
            <w:shd w:val="clear" w:color="auto" w:fill="auto"/>
            <w:tcMar>
              <w:top w:w="15" w:type="dxa"/>
              <w:left w:w="15" w:type="dxa"/>
              <w:right w:w="15" w:type="dxa"/>
            </w:tcMar>
            <w:vAlign w:val="center"/>
          </w:tcPr>
          <w:p>
            <w:pPr>
              <w:spacing w:line="240" w:lineRule="auto"/>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782"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智慧型平安校园建设</w:t>
            </w:r>
          </w:p>
        </w:tc>
        <w:tc>
          <w:tcPr>
            <w:tcW w:w="457"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刘春凤</w:t>
            </w:r>
          </w:p>
        </w:tc>
        <w:tc>
          <w:tcPr>
            <w:tcW w:w="1696" w:type="pct"/>
            <w:shd w:val="clear" w:color="auto" w:fill="auto"/>
            <w:tcMar>
              <w:top w:w="15" w:type="dxa"/>
              <w:left w:w="15" w:type="dxa"/>
              <w:right w:w="15" w:type="dxa"/>
            </w:tcMar>
            <w:vAlign w:val="center"/>
          </w:tcPr>
          <w:p>
            <w:pPr>
              <w:keepNext w:val="0"/>
              <w:keepLines w:val="0"/>
              <w:widowControl/>
              <w:suppressLineNumbers w:val="0"/>
              <w:spacing w:line="240" w:lineRule="auto"/>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北京竞业达数码科技股份有限公司副总裁</w:t>
            </w:r>
          </w:p>
        </w:tc>
        <w:tc>
          <w:tcPr>
            <w:tcW w:w="619" w:type="pc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73</w:t>
            </w:r>
          </w:p>
        </w:tc>
      </w:tr>
    </w:tbl>
    <w:p>
      <w:pPr>
        <w:spacing w:before="156" w:beforeLines="50" w:line="240" w:lineRule="auto"/>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注：</w:t>
      </w:r>
      <w:r>
        <w:rPr>
          <w:rFonts w:ascii="Times New Roman" w:hAnsi="Times New Roman" w:eastAsia="仿宋_GB2312" w:cs="Times New Roman"/>
          <w:bCs/>
          <w:sz w:val="24"/>
          <w:szCs w:val="24"/>
        </w:rPr>
        <w:t>1.</w:t>
      </w:r>
      <w:r>
        <w:rPr>
          <w:rFonts w:ascii="Times New Roman" w:hAnsi="Times New Roman" w:eastAsia="仿宋_GB2312" w:cs="Times New Roman"/>
          <w:sz w:val="24"/>
          <w:szCs w:val="24"/>
        </w:rPr>
        <w:t>个别课程或稍有调整，请以平台最终发布课程为准；</w:t>
      </w:r>
    </w:p>
    <w:p>
      <w:pPr>
        <w:numPr>
          <w:ilvl w:val="0"/>
          <w:numId w:val="0"/>
        </w:numPr>
        <w:spacing w:line="240" w:lineRule="auto"/>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课程主讲人职务为课程录制时的职务。</w:t>
      </w:r>
    </w:p>
    <w:p>
      <w:pP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br w:type="page"/>
      </w:r>
    </w:p>
    <w:p>
      <w:pPr>
        <w:spacing w:line="360" w:lineRule="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附件2</w:t>
      </w:r>
    </w:p>
    <w:p>
      <w:pPr>
        <w:spacing w:line="360" w:lineRule="auto"/>
        <w:jc w:val="center"/>
        <w:rPr>
          <w:rFonts w:hint="eastAsia" w:ascii="方正小标宋简体" w:hAnsi="Times New Roman" w:eastAsia="方正小标宋简体" w:cs="Times New Roman"/>
          <w:color w:val="000000" w:themeColor="text1"/>
          <w:sz w:val="32"/>
          <w:szCs w:val="32"/>
          <w14:textFill>
            <w14:solidFill>
              <w14:schemeClr w14:val="tx1"/>
            </w14:solidFill>
          </w14:textFill>
        </w:rPr>
      </w:pPr>
      <w:r>
        <w:rPr>
          <w:rFonts w:hint="eastAsia" w:ascii="方正小标宋简体" w:hAnsi="Times New Roman" w:eastAsia="方正小标宋简体" w:cs="Times New Roman"/>
          <w:color w:val="000000" w:themeColor="text1"/>
          <w:sz w:val="32"/>
          <w:szCs w:val="32"/>
          <w14:textFill>
            <w14:solidFill>
              <w14:schemeClr w14:val="tx1"/>
            </w14:solidFill>
          </w14:textFill>
        </w:rPr>
        <w:t>管理人员选学课程列表</w:t>
      </w:r>
    </w:p>
    <w:tbl>
      <w:tblPr>
        <w:tblStyle w:val="6"/>
        <w:tblW w:w="8692"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9"/>
        <w:gridCol w:w="3134"/>
        <w:gridCol w:w="805"/>
        <w:gridCol w:w="298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课程</w:t>
            </w:r>
          </w:p>
          <w:p>
            <w:pPr>
              <w:widowControl/>
              <w:jc w:val="center"/>
              <w:textAlignment w:val="center"/>
              <w:rPr>
                <w:rFonts w:ascii="Times New Roman" w:hAnsi="Times New Roman" w:eastAsia="仿宋_GB2312" w:cs="仿宋"/>
                <w:bCs/>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模块</w:t>
            </w:r>
          </w:p>
        </w:tc>
        <w:tc>
          <w:tcPr>
            <w:tcW w:w="1802"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课程名称</w:t>
            </w:r>
          </w:p>
        </w:tc>
        <w:tc>
          <w:tcPr>
            <w:tcW w:w="463"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主讲人</w:t>
            </w:r>
          </w:p>
        </w:tc>
        <w:tc>
          <w:tcPr>
            <w:tcW w:w="1715"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主讲人简介</w:t>
            </w:r>
          </w:p>
        </w:tc>
        <w:tc>
          <w:tcPr>
            <w:tcW w:w="570"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时长</w:t>
            </w:r>
          </w:p>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网络</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安全</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舆情</w:t>
            </w:r>
          </w:p>
          <w:p>
            <w:pPr>
              <w:keepNext w:val="0"/>
              <w:keepLines w:val="0"/>
              <w:widowControl/>
              <w:suppressLineNumbers w:val="0"/>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应对</w:t>
            </w:r>
          </w:p>
        </w:tc>
        <w:tc>
          <w:tcPr>
            <w:tcW w:w="18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如何标本兼治应对网络突发公共事件</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王彩平</w:t>
            </w:r>
          </w:p>
        </w:tc>
        <w:tc>
          <w:tcPr>
            <w:tcW w:w="17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中央党校(国家行政学院)应急管理中心副教授</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80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新媒体与舆情管理——从总书记网络强国战略思想讲起</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田  丽</w:t>
            </w:r>
          </w:p>
        </w:tc>
        <w:tc>
          <w:tcPr>
            <w:tcW w:w="1715"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北京大学互联网发展研究中心主任</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8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危机决策与危机领导力</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曹  峰</w:t>
            </w:r>
          </w:p>
        </w:tc>
        <w:tc>
          <w:tcPr>
            <w:tcW w:w="17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清华大学应急管理研究基地副主任</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8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新时代高校舆情管理与危机应对</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李铁铮</w:t>
            </w:r>
          </w:p>
        </w:tc>
        <w:tc>
          <w:tcPr>
            <w:tcW w:w="17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北京林业大学原宣传部部长</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8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“互联网+”时代教育突发事件的信息发布与舆情应对</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杨艳玲</w:t>
            </w:r>
          </w:p>
        </w:tc>
        <w:tc>
          <w:tcPr>
            <w:tcW w:w="17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国家教育行政学院社会科学教研部主任，副教授</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网络</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安全</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风险</w:t>
            </w:r>
          </w:p>
          <w:p>
            <w:pPr>
              <w:keepNext w:val="0"/>
              <w:keepLines w:val="0"/>
              <w:widowControl/>
              <w:suppressLineNumbers w:val="0"/>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防范</w:t>
            </w:r>
          </w:p>
        </w:tc>
        <w:tc>
          <w:tcPr>
            <w:tcW w:w="18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大数据时代的网络安全及应用</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刘增明</w:t>
            </w:r>
          </w:p>
        </w:tc>
        <w:tc>
          <w:tcPr>
            <w:tcW w:w="17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国家发改委电子政务工程中心应用服务处处长</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80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高校网络安全人才培养创新</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李建华</w:t>
            </w:r>
          </w:p>
        </w:tc>
        <w:tc>
          <w:tcPr>
            <w:tcW w:w="1715"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上海交通大学网络空间安全学院院长</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80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如何统筹推进网络安全工作</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武  装</w:t>
            </w:r>
          </w:p>
        </w:tc>
        <w:tc>
          <w:tcPr>
            <w:tcW w:w="1715"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北京市教委网络和信息中心主任</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80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网络安全应急响应</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董永苹</w:t>
            </w:r>
          </w:p>
        </w:tc>
        <w:tc>
          <w:tcPr>
            <w:tcW w:w="1715"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哈尔滨工业大学网络与信息中心副主任</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48"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80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教育系统的网络安全风险防范</w:t>
            </w:r>
          </w:p>
        </w:tc>
        <w:tc>
          <w:tcPr>
            <w:tcW w:w="46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刘紫千</w:t>
            </w:r>
          </w:p>
        </w:tc>
        <w:tc>
          <w:tcPr>
            <w:tcW w:w="1715"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中国电信集团有限公司网络安全首席专家</w:t>
            </w:r>
          </w:p>
        </w:tc>
        <w:tc>
          <w:tcPr>
            <w:tcW w:w="57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15</w:t>
            </w:r>
          </w:p>
        </w:tc>
      </w:tr>
    </w:tbl>
    <w:p>
      <w:pPr>
        <w:spacing w:before="156" w:beforeLines="5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注：</w:t>
      </w:r>
      <w:r>
        <w:rPr>
          <w:rFonts w:ascii="Times New Roman" w:hAnsi="Times New Roman" w:eastAsia="仿宋_GB2312" w:cs="Times New Roman"/>
          <w:bCs/>
          <w:sz w:val="24"/>
          <w:szCs w:val="24"/>
        </w:rPr>
        <w:t>1.</w:t>
      </w:r>
      <w:r>
        <w:rPr>
          <w:rFonts w:ascii="Times New Roman" w:hAnsi="Times New Roman" w:eastAsia="仿宋_GB2312" w:cs="Times New Roman"/>
          <w:sz w:val="24"/>
          <w:szCs w:val="24"/>
        </w:rPr>
        <w:t>个别课程或稍有调整，请以平台最终发布课程为准；</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2.课程主讲人职务为课程录制时的职务。</w:t>
      </w:r>
    </w:p>
    <w:p>
      <w:pPr>
        <w:rPr>
          <w:rFonts w:ascii="Times New Roman" w:hAnsi="Times New Roman" w:eastAsia="仿宋" w:cs="Times New Roman"/>
          <w:sz w:val="24"/>
        </w:rPr>
      </w:pPr>
      <w:r>
        <w:rPr>
          <w:rFonts w:ascii="Times New Roman" w:hAnsi="Times New Roman" w:eastAsia="仿宋" w:cs="Times New Roman"/>
          <w:sz w:val="24"/>
        </w:rPr>
        <w:br w:type="page"/>
      </w:r>
    </w:p>
    <w:p>
      <w:pPr>
        <w:spacing w:line="360" w:lineRule="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附件3</w:t>
      </w:r>
    </w:p>
    <w:p>
      <w:pPr>
        <w:spacing w:line="360" w:lineRule="auto"/>
        <w:jc w:val="center"/>
        <w:rPr>
          <w:rFonts w:hint="eastAsia" w:ascii="方正小标宋简体" w:hAnsi="Times New Roman" w:eastAsia="方正小标宋简体" w:cs="Times New Roman"/>
          <w:color w:val="000000" w:themeColor="text1"/>
          <w:sz w:val="32"/>
          <w:szCs w:val="32"/>
          <w14:textFill>
            <w14:solidFill>
              <w14:schemeClr w14:val="tx1"/>
            </w14:solidFill>
          </w14:textFill>
        </w:rPr>
      </w:pPr>
      <w:r>
        <w:rPr>
          <w:rFonts w:hint="eastAsia" w:ascii="方正小标宋简体" w:hAnsi="Times New Roman" w:eastAsia="方正小标宋简体" w:cs="Times New Roman"/>
          <w:color w:val="000000" w:themeColor="text1"/>
          <w:sz w:val="32"/>
          <w:szCs w:val="32"/>
          <w14:textFill>
            <w14:solidFill>
              <w14:schemeClr w14:val="tx1"/>
            </w14:solidFill>
          </w14:textFill>
        </w:rPr>
        <w:t>专业技术人员选学课程列表</w:t>
      </w:r>
    </w:p>
    <w:tbl>
      <w:tblPr>
        <w:tblStyle w:val="6"/>
        <w:tblW w:w="8618"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8"/>
        <w:gridCol w:w="3135"/>
        <w:gridCol w:w="805"/>
        <w:gridCol w:w="2983"/>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课程</w:t>
            </w:r>
          </w:p>
          <w:p>
            <w:pPr>
              <w:widowControl/>
              <w:jc w:val="center"/>
              <w:textAlignment w:val="center"/>
              <w:rPr>
                <w:rFonts w:ascii="Times New Roman" w:hAnsi="Times New Roman" w:eastAsia="仿宋_GB2312" w:cs="仿宋"/>
                <w:bCs/>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模块</w:t>
            </w:r>
          </w:p>
        </w:tc>
        <w:tc>
          <w:tcPr>
            <w:tcW w:w="1818"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课程名称</w:t>
            </w:r>
          </w:p>
        </w:tc>
        <w:tc>
          <w:tcPr>
            <w:tcW w:w="467"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主讲人</w:t>
            </w:r>
          </w:p>
        </w:tc>
        <w:tc>
          <w:tcPr>
            <w:tcW w:w="1730"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主讲人简介</w:t>
            </w:r>
          </w:p>
        </w:tc>
        <w:tc>
          <w:tcPr>
            <w:tcW w:w="532"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时长</w:t>
            </w:r>
          </w:p>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网络</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安全</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技术</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与</w:t>
            </w:r>
          </w:p>
          <w:p>
            <w:pPr>
              <w:keepNext w:val="0"/>
              <w:keepLines w:val="0"/>
              <w:widowControl/>
              <w:suppressLineNumbers w:val="0"/>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防护</w:t>
            </w:r>
          </w:p>
        </w:tc>
        <w:tc>
          <w:tcPr>
            <w:tcW w:w="1818"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用可信计算筑牢网络安全防线</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沈昌祥</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中国工程院院士</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81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教育行业等级保护2.0实践建议</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王永琦</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教育部教育管理信息中心安全处技术总监</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81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网络安全风险评估管理</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尤  其</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中国网络安全审查技术与认证中心（原中国信息安全认证中心）培训与人员认证处副处长</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81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校园网IPv6双栈技术部署与运维方法</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张焕杰</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教授级高级工程师，中国科学技术大学网络信息中心副主任</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818"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高校网络安全防护建设分享</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吴  可</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北京启明星辰信息安全技术有限公司教育行业本部技术总监，高级工程师</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信息</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系统</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开发</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与</w:t>
            </w:r>
          </w:p>
          <w:p>
            <w:pPr>
              <w:keepNext w:val="0"/>
              <w:keepLines w:val="0"/>
              <w:widowControl/>
              <w:suppressLineNumbers w:val="0"/>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运营</w:t>
            </w:r>
          </w:p>
        </w:tc>
        <w:tc>
          <w:tcPr>
            <w:tcW w:w="1818"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教育管理公共服务平台与网络安全</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曾德华</w:t>
            </w:r>
          </w:p>
        </w:tc>
        <w:tc>
          <w:tcPr>
            <w:tcW w:w="1730"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教育部教育管理信息中心主任</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81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校园网的安全防御</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姜开达</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上海交通大学网络信息中心副主任，高级工程师</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81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网络安全防护</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于广辉</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大连理工大学网络与信息化中心副主任</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81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主机安全防护</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辛  毅</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哈尔滨工业大学网络与信息中心高级工程师</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5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818"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后渗透测试原理与典型案例</w:t>
            </w:r>
          </w:p>
        </w:tc>
        <w:tc>
          <w:tcPr>
            <w:tcW w:w="46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陈力波</w:t>
            </w:r>
          </w:p>
        </w:tc>
        <w:tc>
          <w:tcPr>
            <w:tcW w:w="1730"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上海交通大学工程师</w:t>
            </w:r>
          </w:p>
        </w:tc>
        <w:tc>
          <w:tcPr>
            <w:tcW w:w="53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60</w:t>
            </w:r>
          </w:p>
        </w:tc>
      </w:tr>
    </w:tbl>
    <w:p>
      <w:pPr>
        <w:spacing w:before="156" w:beforeLines="5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注：</w:t>
      </w:r>
      <w:r>
        <w:rPr>
          <w:rFonts w:ascii="Times New Roman" w:hAnsi="Times New Roman" w:eastAsia="仿宋_GB2312" w:cs="Times New Roman"/>
          <w:bCs/>
          <w:sz w:val="24"/>
          <w:szCs w:val="24"/>
        </w:rPr>
        <w:t>1.</w:t>
      </w:r>
      <w:r>
        <w:rPr>
          <w:rFonts w:ascii="Times New Roman" w:hAnsi="Times New Roman" w:eastAsia="仿宋_GB2312" w:cs="Times New Roman"/>
          <w:sz w:val="24"/>
          <w:szCs w:val="24"/>
        </w:rPr>
        <w:t>个别课程或稍有调整，请以平台最终发布课程为准；</w:t>
      </w:r>
    </w:p>
    <w:p>
      <w:pPr>
        <w:rPr>
          <w:rFonts w:ascii="黑体" w:hAnsi="黑体" w:eastAsia="黑体" w:cs="Times New Roman"/>
          <w:sz w:val="24"/>
        </w:rPr>
      </w:pPr>
      <w:r>
        <w:rPr>
          <w:rFonts w:ascii="Times New Roman" w:hAnsi="Times New Roman" w:eastAsia="仿宋_GB2312" w:cs="Times New Roman"/>
          <w:sz w:val="24"/>
          <w:szCs w:val="24"/>
        </w:rPr>
        <w:t xml:space="preserve">    2.课程主讲人职务为课程录制时的职务。</w:t>
      </w:r>
      <w:r>
        <w:rPr>
          <w:rFonts w:ascii="黑体" w:hAnsi="黑体" w:eastAsia="黑体" w:cs="Times New Roman"/>
          <w:sz w:val="24"/>
        </w:rPr>
        <w:br w:type="page"/>
      </w:r>
    </w:p>
    <w:p>
      <w:pPr>
        <w:spacing w:line="360" w:lineRule="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附件4</w:t>
      </w:r>
    </w:p>
    <w:p>
      <w:pPr>
        <w:spacing w:line="360" w:lineRule="auto"/>
        <w:jc w:val="center"/>
        <w:rPr>
          <w:rFonts w:hint="eastAsia" w:ascii="方正小标宋简体" w:hAnsi="Times New Roman" w:eastAsia="方正小标宋简体" w:cs="Times New Roman"/>
          <w:color w:val="000000" w:themeColor="text1"/>
          <w:sz w:val="32"/>
          <w:szCs w:val="32"/>
          <w14:textFill>
            <w14:solidFill>
              <w14:schemeClr w14:val="tx1"/>
            </w14:solidFill>
          </w14:textFill>
        </w:rPr>
      </w:pPr>
      <w:r>
        <w:rPr>
          <w:rFonts w:hint="eastAsia" w:ascii="方正小标宋简体" w:hAnsi="Times New Roman" w:eastAsia="方正小标宋简体" w:cs="Times New Roman"/>
          <w:color w:val="000000" w:themeColor="text1"/>
          <w:sz w:val="32"/>
          <w:szCs w:val="32"/>
          <w14:textFill>
            <w14:solidFill>
              <w14:schemeClr w14:val="tx1"/>
            </w14:solidFill>
          </w14:textFill>
        </w:rPr>
        <w:t>教师选学课程列表</w:t>
      </w:r>
    </w:p>
    <w:tbl>
      <w:tblPr>
        <w:tblStyle w:val="6"/>
        <w:tblW w:w="874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8"/>
        <w:gridCol w:w="3365"/>
        <w:gridCol w:w="922"/>
        <w:gridCol w:w="269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shd w:val="clear" w:color="auto" w:fill="auto"/>
            <w:tcMar>
              <w:top w:w="15" w:type="dxa"/>
              <w:left w:w="15" w:type="dxa"/>
              <w:right w:w="15" w:type="dxa"/>
            </w:tcMar>
            <w:vAlign w:val="center"/>
          </w:tcPr>
          <w:p>
            <w:pPr>
              <w:widowControl/>
              <w:jc w:val="center"/>
              <w:textAlignment w:val="center"/>
              <w:rPr>
                <w:rFonts w:hint="eastAsia"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课程</w:t>
            </w:r>
          </w:p>
          <w:p>
            <w:pPr>
              <w:widowControl/>
              <w:jc w:val="center"/>
              <w:textAlignment w:val="center"/>
              <w:rPr>
                <w:rFonts w:ascii="Times New Roman" w:hAnsi="Times New Roman" w:eastAsia="仿宋_GB2312" w:cs="仿宋"/>
                <w:bCs/>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模块</w:t>
            </w:r>
          </w:p>
        </w:tc>
        <w:tc>
          <w:tcPr>
            <w:tcW w:w="1924"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课程名称</w:t>
            </w:r>
          </w:p>
        </w:tc>
        <w:tc>
          <w:tcPr>
            <w:tcW w:w="527"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主讲人</w:t>
            </w:r>
          </w:p>
        </w:tc>
        <w:tc>
          <w:tcPr>
            <w:tcW w:w="1542"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主讲人简介</w:t>
            </w:r>
          </w:p>
        </w:tc>
        <w:tc>
          <w:tcPr>
            <w:tcW w:w="594" w:type="pct"/>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时长</w:t>
            </w:r>
          </w:p>
          <w:p>
            <w:pPr>
              <w:widowControl/>
              <w:jc w:val="center"/>
              <w:textAlignment w:val="center"/>
              <w:rPr>
                <w:rFonts w:ascii="Times New Roman" w:hAnsi="Times New Roman" w:eastAsia="仿宋_GB2312" w:cs="仿宋"/>
                <w:b/>
                <w:color w:val="000000" w:themeColor="text1"/>
                <w:sz w:val="24"/>
                <w:szCs w:val="24"/>
                <w14:textFill>
                  <w14:solidFill>
                    <w14:schemeClr w14:val="tx1"/>
                  </w14:solidFill>
                </w14:textFill>
              </w:rPr>
            </w:pPr>
            <w:r>
              <w:rPr>
                <w:rFonts w:hint="eastAsia" w:ascii="Times New Roman" w:hAnsi="Times New Roman" w:eastAsia="仿宋_GB2312" w:cs="仿宋"/>
                <w:b/>
                <w:color w:val="000000" w:themeColor="text1"/>
                <w:kern w:val="0"/>
                <w:sz w:val="24"/>
                <w:szCs w:val="24"/>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信息</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技术</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发展</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与</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教育</w:t>
            </w:r>
          </w:p>
          <w:p>
            <w:pPr>
              <w:keepNext w:val="0"/>
              <w:keepLines w:val="0"/>
              <w:widowControl/>
              <w:suppressLineNumbers w:val="0"/>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变革</w:t>
            </w:r>
          </w:p>
        </w:tc>
        <w:tc>
          <w:tcPr>
            <w:tcW w:w="1924"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新技术与未来教育</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席酉民</w:t>
            </w:r>
          </w:p>
        </w:tc>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西交利物浦大学执行校长</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9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专题报告：人工智能与未来教育</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高新波</w:t>
            </w:r>
          </w:p>
        </w:tc>
        <w:tc>
          <w:tcPr>
            <w:tcW w:w="154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西安电子科技大学副校长</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924"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新形势人工智能教育与人才培养思考</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吴  飞</w:t>
            </w:r>
          </w:p>
        </w:tc>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浙江大学计算机学院人工智能研究所所长、教授</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924"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教育大数据分析研究及其典型应用</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郑庆华</w:t>
            </w:r>
          </w:p>
        </w:tc>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西安交通大学副校长</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41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bCs/>
                <w:color w:val="000000" w:themeColor="text1"/>
                <w:kern w:val="0"/>
                <w:sz w:val="24"/>
                <w:szCs w:val="24"/>
                <w14:textFill>
                  <w14:solidFill>
                    <w14:schemeClr w14:val="tx1"/>
                  </w14:solidFill>
                </w14:textFill>
              </w:rPr>
            </w:pPr>
          </w:p>
        </w:tc>
        <w:tc>
          <w:tcPr>
            <w:tcW w:w="1924"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大数据时代高校网络育人的质量提升</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刘宏达</w:t>
            </w:r>
          </w:p>
        </w:tc>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华中师范大学马克思主义学院教授</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信息</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技术</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与</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教学</w:t>
            </w:r>
          </w:p>
          <w:p>
            <w:pPr>
              <w:keepNext w:val="0"/>
              <w:keepLines w:val="0"/>
              <w:widowControl/>
              <w:suppressLineNumbers w:val="0"/>
              <w:jc w:val="center"/>
              <w:textAlignment w:val="center"/>
              <w:rPr>
                <w:rFonts w:hint="eastAsia" w:ascii="Times New Roman" w:hAnsi="Times New Roman" w:eastAsia="仿宋_GB2312" w:cs="等线"/>
                <w:b/>
                <w:bCs/>
                <w:i w:val="0"/>
                <w:iCs w:val="0"/>
                <w:color w:val="000000"/>
                <w:kern w:val="0"/>
                <w:sz w:val="24"/>
                <w:szCs w:val="24"/>
                <w:u w:val="none"/>
                <w:lang w:val="en-US" w:eastAsia="zh-CN" w:bidi="ar"/>
              </w:rPr>
            </w:pPr>
            <w:r>
              <w:rPr>
                <w:rFonts w:hint="eastAsia" w:ascii="Times New Roman" w:hAnsi="Times New Roman" w:eastAsia="仿宋_GB2312" w:cs="等线"/>
                <w:b/>
                <w:bCs/>
                <w:i w:val="0"/>
                <w:iCs w:val="0"/>
                <w:color w:val="000000"/>
                <w:kern w:val="0"/>
                <w:sz w:val="24"/>
                <w:szCs w:val="24"/>
                <w:u w:val="none"/>
                <w:lang w:val="en-US" w:eastAsia="zh-CN" w:bidi="ar"/>
              </w:rPr>
              <w:t>深度</w:t>
            </w:r>
          </w:p>
          <w:p>
            <w:pPr>
              <w:keepNext w:val="0"/>
              <w:keepLines w:val="0"/>
              <w:widowControl/>
              <w:suppressLineNumbers w:val="0"/>
              <w:jc w:val="center"/>
              <w:textAlignment w:val="center"/>
              <w:rPr>
                <w:rFonts w:ascii="Times New Roman" w:hAnsi="Times New Roman" w:eastAsia="仿宋_GB2312" w:cs="仿宋"/>
                <w:b/>
                <w:bCs/>
                <w:color w:val="000000" w:themeColor="text1"/>
                <w:kern w:val="0"/>
                <w:sz w:val="24"/>
                <w:szCs w:val="24"/>
                <w14:textFill>
                  <w14:solidFill>
                    <w14:schemeClr w14:val="tx1"/>
                  </w14:solidFill>
                </w14:textFill>
              </w:rPr>
            </w:pPr>
            <w:r>
              <w:rPr>
                <w:rFonts w:hint="eastAsia" w:ascii="Times New Roman" w:hAnsi="Times New Roman" w:eastAsia="仿宋_GB2312" w:cs="等线"/>
                <w:b/>
                <w:bCs/>
                <w:i w:val="0"/>
                <w:iCs w:val="0"/>
                <w:color w:val="000000"/>
                <w:kern w:val="0"/>
                <w:sz w:val="24"/>
                <w:szCs w:val="24"/>
                <w:u w:val="none"/>
                <w:lang w:val="en-US" w:eastAsia="zh-CN" w:bidi="ar"/>
              </w:rPr>
              <w:t>融合</w:t>
            </w:r>
          </w:p>
        </w:tc>
        <w:tc>
          <w:tcPr>
            <w:tcW w:w="19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信息技术时代的课程建设</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俎云霄</w:t>
            </w:r>
          </w:p>
        </w:tc>
        <w:tc>
          <w:tcPr>
            <w:tcW w:w="154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北京邮电大学教授，博士生导师</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924"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“互联网+”视野下信息技术与教学融合</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董宏建</w:t>
            </w:r>
          </w:p>
        </w:tc>
        <w:tc>
          <w:tcPr>
            <w:tcW w:w="1542" w:type="pct"/>
            <w:shd w:val="clear" w:color="auto" w:fill="auto"/>
            <w:tcMar>
              <w:top w:w="15" w:type="dxa"/>
              <w:left w:w="15" w:type="dxa"/>
              <w:right w:w="15" w:type="dxa"/>
            </w:tcMar>
            <w:vAlign w:val="center"/>
          </w:tcPr>
          <w:p>
            <w:pPr>
              <w:keepNext w:val="0"/>
              <w:keepLines w:val="0"/>
              <w:widowControl/>
              <w:suppressLineNumbers w:val="0"/>
              <w:jc w:val="both"/>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北京理工大学远程教育学院教育技术研究所所长、副教授</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9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技术支持的课堂讲授</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闫寒冰</w:t>
            </w:r>
          </w:p>
        </w:tc>
        <w:tc>
          <w:tcPr>
            <w:tcW w:w="154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华东师范大学网络教育学院副院长</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9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基于雨课堂的智慧教学设计与实践</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吕秋亮</w:t>
            </w:r>
          </w:p>
        </w:tc>
        <w:tc>
          <w:tcPr>
            <w:tcW w:w="154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教育部在线教育研究中心课程顾问，清华大学“雨课堂”联合创始人</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411" w:type="pct"/>
            <w:vMerge w:val="continue"/>
            <w:shd w:val="clear" w:color="auto" w:fill="auto"/>
            <w:tcMar>
              <w:top w:w="15" w:type="dxa"/>
              <w:left w:w="15" w:type="dxa"/>
              <w:right w:w="15" w:type="dxa"/>
            </w:tcMar>
            <w:vAlign w:val="center"/>
          </w:tcPr>
          <w:p>
            <w:pPr>
              <w:jc w:val="center"/>
              <w:rPr>
                <w:rFonts w:ascii="Times New Roman" w:hAnsi="Times New Roman" w:eastAsia="仿宋_GB2312" w:cs="仿宋"/>
                <w:b/>
                <w:color w:val="000000" w:themeColor="text1"/>
                <w:kern w:val="0"/>
                <w:sz w:val="24"/>
                <w:szCs w:val="24"/>
                <w14:textFill>
                  <w14:solidFill>
                    <w14:schemeClr w14:val="tx1"/>
                  </w14:solidFill>
                </w14:textFill>
              </w:rPr>
            </w:pPr>
          </w:p>
        </w:tc>
        <w:tc>
          <w:tcPr>
            <w:tcW w:w="1924"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基于UMU平台的课堂创新与变革</w:t>
            </w:r>
          </w:p>
        </w:tc>
        <w:tc>
          <w:tcPr>
            <w:tcW w:w="527"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吴  昭</w:t>
            </w:r>
          </w:p>
        </w:tc>
        <w:tc>
          <w:tcPr>
            <w:tcW w:w="1542"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华东师范大学开放教育学院社会培训部副主任</w:t>
            </w:r>
          </w:p>
        </w:tc>
        <w:tc>
          <w:tcPr>
            <w:tcW w:w="59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仿宋"/>
                <w:b/>
                <w:color w:val="000000" w:themeColor="text1"/>
                <w:kern w:val="0"/>
                <w:sz w:val="24"/>
                <w:szCs w:val="24"/>
                <w14:textFill>
                  <w14:solidFill>
                    <w14:schemeClr w14:val="tx1"/>
                  </w14:solidFill>
                </w14:textFill>
              </w:rPr>
            </w:pPr>
            <w:r>
              <w:rPr>
                <w:rFonts w:hint="eastAsia" w:ascii="Times New Roman" w:hAnsi="Times New Roman" w:eastAsia="仿宋_GB2312" w:cs="等线"/>
                <w:i w:val="0"/>
                <w:iCs w:val="0"/>
                <w:color w:val="000000"/>
                <w:kern w:val="0"/>
                <w:sz w:val="24"/>
                <w:szCs w:val="24"/>
                <w:u w:val="none"/>
                <w:lang w:val="en-US" w:eastAsia="zh-CN" w:bidi="ar"/>
              </w:rPr>
              <w:t>55</w:t>
            </w:r>
          </w:p>
        </w:tc>
      </w:tr>
    </w:tbl>
    <w:p>
      <w:pPr>
        <w:spacing w:before="156" w:beforeLines="50"/>
        <w:jc w:val="left"/>
        <w:rPr>
          <w:rFonts w:ascii="Times New Roman" w:hAnsi="Times New Roman" w:eastAsia="仿宋_GB2312" w:cs="Times New Roman"/>
          <w:sz w:val="24"/>
          <w:szCs w:val="24"/>
        </w:rPr>
      </w:pPr>
      <w:r>
        <w:rPr>
          <w:rFonts w:ascii="Times New Roman" w:hAnsi="Times New Roman" w:eastAsia="仿宋_GB2312" w:cs="Times New Roman"/>
          <w:b/>
          <w:bCs/>
          <w:sz w:val="24"/>
          <w:szCs w:val="24"/>
        </w:rPr>
        <w:t>注：</w:t>
      </w:r>
      <w:r>
        <w:rPr>
          <w:rFonts w:ascii="Times New Roman" w:hAnsi="Times New Roman" w:eastAsia="仿宋_GB2312" w:cs="Times New Roman"/>
          <w:bCs/>
          <w:sz w:val="24"/>
          <w:szCs w:val="24"/>
        </w:rPr>
        <w:t>1.</w:t>
      </w:r>
      <w:r>
        <w:rPr>
          <w:rFonts w:ascii="Times New Roman" w:hAnsi="Times New Roman" w:eastAsia="仿宋_GB2312" w:cs="Times New Roman"/>
          <w:sz w:val="24"/>
          <w:szCs w:val="24"/>
        </w:rPr>
        <w:t>个别课程或稍有调整，请以平台最终发布课程为准；</w:t>
      </w:r>
    </w:p>
    <w:p>
      <w:pPr>
        <w:rPr>
          <w:rFonts w:ascii="黑体" w:hAnsi="黑体" w:eastAsia="黑体"/>
          <w:sz w:val="24"/>
          <w:szCs w:val="24"/>
        </w:rPr>
      </w:pPr>
      <w:r>
        <w:rPr>
          <w:rFonts w:ascii="Times New Roman" w:hAnsi="Times New Roman" w:eastAsia="仿宋_GB2312" w:cs="Times New Roman"/>
          <w:sz w:val="24"/>
          <w:szCs w:val="24"/>
        </w:rPr>
        <w:t xml:space="preserve">    2.课程主讲人职务为课程录制时的职务。</w:t>
      </w:r>
      <w:r>
        <w:rPr>
          <w:rFonts w:ascii="黑体" w:hAnsi="黑体" w:eastAsia="黑体"/>
          <w:sz w:val="24"/>
          <w:szCs w:val="24"/>
        </w:rPr>
        <w:br w:type="page"/>
      </w:r>
    </w:p>
    <w:p>
      <w:pPr>
        <w:spacing w:line="360" w:lineRule="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附件5</w:t>
      </w:r>
    </w:p>
    <w:p>
      <w:pPr>
        <w:spacing w:line="360" w:lineRule="auto"/>
        <w:jc w:val="center"/>
        <w:rPr>
          <w:rFonts w:hint="eastAsia" w:ascii="方正小标宋简体" w:hAnsi="Times New Roman" w:eastAsia="方正小标宋简体" w:cs="Times New Roman"/>
          <w:color w:val="000000" w:themeColor="text1"/>
          <w:sz w:val="32"/>
          <w:szCs w:val="32"/>
          <w14:textFill>
            <w14:solidFill>
              <w14:schemeClr w14:val="tx1"/>
            </w14:solidFill>
          </w14:textFill>
        </w:rPr>
      </w:pPr>
      <w:bookmarkStart w:id="7" w:name="_GoBack"/>
      <w:r>
        <w:rPr>
          <w:rFonts w:hint="eastAsia" w:ascii="方正小标宋简体" w:hAnsi="Times New Roman" w:eastAsia="方正小标宋简体" w:cs="Times New Roman"/>
          <w:color w:val="000000" w:themeColor="text1"/>
          <w:sz w:val="32"/>
          <w:szCs w:val="32"/>
          <w14:textFill>
            <w14:solidFill>
              <w14:schemeClr w14:val="tx1"/>
            </w14:solidFill>
          </w14:textFill>
        </w:rPr>
        <w:t>第四期高校教育信息化与网络安全专题</w:t>
      </w:r>
    </w:p>
    <w:p>
      <w:pPr>
        <w:spacing w:line="360" w:lineRule="auto"/>
        <w:jc w:val="center"/>
        <w:rPr>
          <w:rFonts w:hint="eastAsia" w:ascii="方正小标宋简体" w:hAnsi="Times New Roman" w:eastAsia="方正小标宋简体" w:cs="Times New Roman"/>
          <w:color w:val="000000" w:themeColor="text1"/>
          <w:sz w:val="32"/>
          <w:szCs w:val="32"/>
          <w14:textFill>
            <w14:solidFill>
              <w14:schemeClr w14:val="tx1"/>
            </w14:solidFill>
          </w14:textFill>
        </w:rPr>
      </w:pPr>
      <w:r>
        <w:rPr>
          <w:rFonts w:hint="eastAsia" w:ascii="方正小标宋简体" w:hAnsi="Times New Roman" w:eastAsia="方正小标宋简体" w:cs="Times New Roman"/>
          <w:color w:val="000000" w:themeColor="text1"/>
          <w:sz w:val="32"/>
          <w:szCs w:val="32"/>
          <w14:textFill>
            <w14:solidFill>
              <w14:schemeClr w14:val="tx1"/>
            </w14:solidFill>
          </w14:textFill>
        </w:rPr>
        <w:t>网络培训报名表</w:t>
      </w:r>
    </w:p>
    <w:bookmarkEnd w:id="7"/>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48"/>
        <w:gridCol w:w="2726"/>
        <w:gridCol w:w="574"/>
        <w:gridCol w:w="717"/>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52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bookmarkStart w:id="6" w:name="_Hlk60933153"/>
            <w:r>
              <w:rPr>
                <w:rFonts w:ascii="Times New Roman" w:hAnsi="Times New Roman" w:eastAsia="仿宋_GB2312" w:cs="Times New Roman"/>
                <w:b/>
                <w:bCs/>
                <w:sz w:val="24"/>
              </w:rPr>
              <w:t>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65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参训对象</w:t>
            </w:r>
          </w:p>
        </w:tc>
        <w:tc>
          <w:tcPr>
            <w:tcW w:w="659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开班时间</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参加人数</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通讯地址</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邮编</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负</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责</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人</w:t>
            </w:r>
          </w:p>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姓名</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部门</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职务</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电话</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手机</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邮箱</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联</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系</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人</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姓名</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部门</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职务</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电话</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7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手机</w:t>
            </w:r>
          </w:p>
        </w:tc>
        <w:tc>
          <w:tcPr>
            <w:tcW w:w="27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2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邮箱</w:t>
            </w:r>
          </w:p>
        </w:tc>
        <w:tc>
          <w:tcPr>
            <w:tcW w:w="25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位</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意</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见</w:t>
            </w:r>
          </w:p>
        </w:tc>
        <w:tc>
          <w:tcPr>
            <w:tcW w:w="7747" w:type="dxa"/>
            <w:gridSpan w:val="5"/>
            <w:tcBorders>
              <w:top w:val="single" w:color="auto" w:sz="4" w:space="0"/>
              <w:left w:val="single" w:color="auto" w:sz="4" w:space="0"/>
              <w:bottom w:val="single" w:color="auto" w:sz="4" w:space="0"/>
              <w:right w:val="single" w:color="auto" w:sz="4" w:space="0"/>
            </w:tcBorders>
          </w:tcPr>
          <w:p>
            <w:pPr>
              <w:keepNext/>
              <w:keepLines/>
              <w:spacing w:before="340" w:after="330" w:line="578" w:lineRule="auto"/>
              <w:outlineLvl w:val="0"/>
              <w:rPr>
                <w:rFonts w:ascii="Times New Roman" w:hAnsi="Times New Roman" w:eastAsia="仿宋_GB2312" w:cs="Times New Roman"/>
                <w:b/>
                <w:bCs/>
                <w:kern w:val="44"/>
                <w:sz w:val="24"/>
              </w:rPr>
            </w:pPr>
          </w:p>
          <w:p>
            <w:pPr>
              <w:rPr>
                <w:rFonts w:ascii="Times New Roman" w:hAnsi="Times New Roman" w:eastAsia="仿宋_GB2312" w:cs="Times New Roman"/>
                <w:sz w:val="24"/>
              </w:rPr>
            </w:pPr>
            <w:r>
              <w:rPr>
                <w:rFonts w:ascii="Times New Roman" w:hAnsi="Times New Roman" w:eastAsia="仿宋_GB2312" w:cs="Times New Roman"/>
                <w:sz w:val="24"/>
              </w:rPr>
              <w:t xml:space="preserve">                                            单位盖章</w:t>
            </w:r>
          </w:p>
          <w:p>
            <w:pPr>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汇</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款</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信</w:t>
            </w:r>
          </w:p>
          <w:p>
            <w:pPr>
              <w:jc w:val="center"/>
              <w:rPr>
                <w:rFonts w:ascii="Times New Roman" w:hAnsi="Times New Roman" w:eastAsia="仿宋_GB2312" w:cs="Times New Roman"/>
                <w:sz w:val="24"/>
              </w:rPr>
            </w:pPr>
            <w:r>
              <w:rPr>
                <w:rFonts w:ascii="Times New Roman" w:hAnsi="Times New Roman" w:eastAsia="仿宋_GB2312" w:cs="Times New Roman"/>
                <w:b/>
                <w:bCs/>
                <w:sz w:val="24"/>
              </w:rPr>
              <w:t>息</w:t>
            </w:r>
          </w:p>
        </w:tc>
        <w:tc>
          <w:tcPr>
            <w:tcW w:w="3874"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rPr>
            </w:pPr>
            <w:r>
              <w:rPr>
                <w:rFonts w:ascii="Times New Roman" w:hAnsi="Times New Roman" w:eastAsia="仿宋_GB2312" w:cs="Times New Roman"/>
                <w:sz w:val="24"/>
              </w:rPr>
              <w:t>收款单位：国家教育行政学院</w:t>
            </w:r>
          </w:p>
          <w:p>
            <w:pPr>
              <w:rPr>
                <w:rFonts w:ascii="Times New Roman" w:hAnsi="Times New Roman" w:eastAsia="仿宋_GB2312" w:cs="Times New Roman"/>
                <w:sz w:val="24"/>
              </w:rPr>
            </w:pPr>
            <w:r>
              <w:rPr>
                <w:rFonts w:ascii="Times New Roman" w:hAnsi="Times New Roman" w:eastAsia="仿宋_GB2312" w:cs="Times New Roman"/>
                <w:sz w:val="24"/>
              </w:rPr>
              <w:t>地址电话：北京市大兴区清源北路8号 010-69248888</w:t>
            </w:r>
          </w:p>
          <w:p>
            <w:pPr>
              <w:rPr>
                <w:rFonts w:ascii="Times New Roman" w:hAnsi="Times New Roman" w:eastAsia="仿宋_GB2312" w:cs="Times New Roman"/>
                <w:sz w:val="24"/>
              </w:rPr>
            </w:pPr>
            <w:r>
              <w:rPr>
                <w:rFonts w:ascii="Times New Roman" w:hAnsi="Times New Roman" w:eastAsia="仿宋_GB2312" w:cs="Times New Roman"/>
                <w:sz w:val="24"/>
              </w:rPr>
              <w:t>开户银行：工行北京体育场支行</w:t>
            </w:r>
          </w:p>
          <w:p>
            <w:pPr>
              <w:rPr>
                <w:rFonts w:ascii="Times New Roman" w:hAnsi="Times New Roman" w:eastAsia="仿宋_GB2312" w:cs="Times New Roman"/>
                <w:sz w:val="24"/>
              </w:rPr>
            </w:pPr>
            <w:r>
              <w:rPr>
                <w:rFonts w:ascii="Times New Roman" w:hAnsi="Times New Roman" w:eastAsia="仿宋_GB2312" w:cs="Times New Roman"/>
                <w:sz w:val="24"/>
              </w:rPr>
              <w:t>账号：0200053009014409667</w:t>
            </w:r>
          </w:p>
          <w:p>
            <w:pPr>
              <w:rPr>
                <w:rFonts w:ascii="Times New Roman" w:hAnsi="Times New Roman" w:eastAsia="仿宋_GB2312" w:cs="Times New Roman"/>
                <w:sz w:val="24"/>
              </w:rPr>
            </w:pPr>
            <w:r>
              <w:rPr>
                <w:rFonts w:ascii="Times New Roman" w:hAnsi="Times New Roman" w:eastAsia="仿宋_GB2312" w:cs="Times New Roman"/>
                <w:sz w:val="24"/>
              </w:rPr>
              <w:t>联行号：102100005307</w:t>
            </w:r>
          </w:p>
          <w:p>
            <w:pPr>
              <w:rPr>
                <w:rFonts w:hint="eastAsia" w:ascii="Times New Roman" w:hAnsi="Times New Roman" w:eastAsia="仿宋_GB2312" w:cs="Times New Roman"/>
                <w:sz w:val="24"/>
                <w:lang w:eastAsia="zh-CN"/>
              </w:rPr>
            </w:pPr>
            <w:r>
              <w:rPr>
                <w:rFonts w:ascii="Times New Roman" w:hAnsi="Times New Roman" w:eastAsia="仿宋_GB2312" w:cs="Times New Roman"/>
                <w:sz w:val="24"/>
              </w:rPr>
              <w:t>请在汇款时说明：</w:t>
            </w:r>
            <w:r>
              <w:rPr>
                <w:rFonts w:hint="eastAsia" w:ascii="Times New Roman" w:hAnsi="Times New Roman" w:eastAsia="仿宋_GB2312" w:cs="Times New Roman"/>
                <w:b/>
                <w:sz w:val="24"/>
              </w:rPr>
              <w:t>第四期高校教育信息化与网络安全专题</w:t>
            </w:r>
          </w:p>
        </w:tc>
        <w:tc>
          <w:tcPr>
            <w:tcW w:w="5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rPr>
            </w:pPr>
            <w:r>
              <w:rPr>
                <w:rFonts w:ascii="Times New Roman" w:hAnsi="Times New Roman" w:eastAsia="仿宋_GB2312" w:cs="Times New Roman"/>
                <w:sz w:val="24"/>
              </w:rPr>
              <w:t>开票信息</w:t>
            </w:r>
          </w:p>
        </w:tc>
        <w:tc>
          <w:tcPr>
            <w:tcW w:w="329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rPr>
            </w:pPr>
            <w:r>
              <w:rPr>
                <w:rFonts w:ascii="Times New Roman" w:hAnsi="Times New Roman" w:eastAsia="仿宋_GB2312" w:cs="Times New Roman"/>
                <w:sz w:val="24"/>
              </w:rPr>
              <w:t>发票抬头:</w:t>
            </w:r>
          </w:p>
          <w:p>
            <w:pPr>
              <w:keepNext/>
              <w:keepLines/>
              <w:outlineLvl w:val="0"/>
              <w:rPr>
                <w:rFonts w:ascii="Times New Roman" w:hAnsi="Times New Roman" w:eastAsia="仿宋_GB2312" w:cs="Times New Roman"/>
                <w:b/>
                <w:bCs/>
                <w:kern w:val="44"/>
                <w:sz w:val="24"/>
              </w:rPr>
            </w:pPr>
          </w:p>
          <w:p>
            <w:pPr>
              <w:rPr>
                <w:rFonts w:ascii="Times New Roman" w:hAnsi="Times New Roman" w:eastAsia="仿宋_GB2312" w:cs="Times New Roman"/>
                <w:sz w:val="24"/>
              </w:rPr>
            </w:pPr>
            <w:r>
              <w:rPr>
                <w:rFonts w:ascii="Times New Roman" w:hAnsi="Times New Roman" w:eastAsia="仿宋_GB2312" w:cs="Times New Roman"/>
                <w:sz w:val="24"/>
              </w:rPr>
              <w:t>纳税人识别号：</w:t>
            </w:r>
          </w:p>
          <w:p>
            <w:pPr>
              <w:keepNext/>
              <w:keepLines/>
              <w:outlineLvl w:val="0"/>
              <w:rPr>
                <w:rFonts w:ascii="Times New Roman" w:hAnsi="Times New Roman" w:eastAsia="仿宋_GB2312" w:cs="Times New Roman"/>
                <w:b/>
                <w:bCs/>
                <w:kern w:val="44"/>
                <w:sz w:val="24"/>
              </w:rPr>
            </w:pPr>
          </w:p>
          <w:p>
            <w:pPr>
              <w:rPr>
                <w:rFonts w:ascii="Times New Roman" w:hAnsi="Times New Roman" w:eastAsia="仿宋_GB2312" w:cs="Times New Roman"/>
                <w:sz w:val="24"/>
              </w:rPr>
            </w:pPr>
            <w:r>
              <w:rPr>
                <w:rFonts w:ascii="Times New Roman" w:hAnsi="Times New Roman" w:eastAsia="仿宋_GB2312" w:cs="Times New Roman"/>
                <w:sz w:val="24"/>
              </w:rPr>
              <w:t>开票金额：</w:t>
            </w:r>
          </w:p>
        </w:tc>
      </w:tr>
    </w:tbl>
    <w:p>
      <w:pPr>
        <w:keepNext w:val="0"/>
        <w:keepLines w:val="0"/>
        <w:pageBreakBefore w:val="0"/>
        <w:widowControl w:val="0"/>
        <w:kinsoku/>
        <w:wordWrap/>
        <w:overflowPunct/>
        <w:topLinePunct w:val="0"/>
        <w:autoSpaceDE/>
        <w:autoSpaceDN/>
        <w:bidi w:val="0"/>
        <w:adjustRightInd/>
        <w:snapToGrid/>
        <w:spacing w:before="161" w:beforeLines="50"/>
        <w:textAlignment w:val="auto"/>
        <w:rPr>
          <w:rFonts w:ascii="Times New Roman" w:hAnsi="Times New Roman" w:eastAsia="仿宋_GB2312" w:cs="仿宋"/>
          <w:color w:val="000000" w:themeColor="text1"/>
          <w:sz w:val="21"/>
          <w14:textFill>
            <w14:solidFill>
              <w14:schemeClr w14:val="tx1"/>
            </w14:solidFill>
          </w14:textFill>
        </w:rPr>
      </w:pPr>
      <w:r>
        <w:rPr>
          <w:rFonts w:hint="eastAsia" w:ascii="Times New Roman" w:hAnsi="Times New Roman" w:eastAsia="仿宋_GB2312" w:cs="Times New Roman"/>
          <w:sz w:val="24"/>
        </w:rPr>
        <w:t>说明：请参训单位认真填写此表，与国家教育行政学院联系，以便尽快安排培训。</w:t>
      </w:r>
      <w:bookmarkEnd w:id="6"/>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2C"/>
    <w:rsid w:val="00023317"/>
    <w:rsid w:val="00036B62"/>
    <w:rsid w:val="000B395A"/>
    <w:rsid w:val="00101314"/>
    <w:rsid w:val="00111A1F"/>
    <w:rsid w:val="0012581E"/>
    <w:rsid w:val="00134CD7"/>
    <w:rsid w:val="00161627"/>
    <w:rsid w:val="00162534"/>
    <w:rsid w:val="001770E5"/>
    <w:rsid w:val="001B1208"/>
    <w:rsid w:val="001C0750"/>
    <w:rsid w:val="001E4049"/>
    <w:rsid w:val="001E5E22"/>
    <w:rsid w:val="00255252"/>
    <w:rsid w:val="002C2CE5"/>
    <w:rsid w:val="0031583B"/>
    <w:rsid w:val="003207A8"/>
    <w:rsid w:val="003207C9"/>
    <w:rsid w:val="003544AC"/>
    <w:rsid w:val="00365966"/>
    <w:rsid w:val="00397FCB"/>
    <w:rsid w:val="003A2DD8"/>
    <w:rsid w:val="00413164"/>
    <w:rsid w:val="00457BEE"/>
    <w:rsid w:val="00457E88"/>
    <w:rsid w:val="004E1DB7"/>
    <w:rsid w:val="00533C2D"/>
    <w:rsid w:val="00582F24"/>
    <w:rsid w:val="005A1C92"/>
    <w:rsid w:val="005B7C46"/>
    <w:rsid w:val="00671A33"/>
    <w:rsid w:val="006A37E8"/>
    <w:rsid w:val="006B3D8C"/>
    <w:rsid w:val="006C574C"/>
    <w:rsid w:val="006D2681"/>
    <w:rsid w:val="006F25D4"/>
    <w:rsid w:val="00720698"/>
    <w:rsid w:val="007361AA"/>
    <w:rsid w:val="00765A0D"/>
    <w:rsid w:val="007B073D"/>
    <w:rsid w:val="007D5E36"/>
    <w:rsid w:val="007D6498"/>
    <w:rsid w:val="0082366B"/>
    <w:rsid w:val="00835A61"/>
    <w:rsid w:val="00854CD5"/>
    <w:rsid w:val="00885AE4"/>
    <w:rsid w:val="00886C78"/>
    <w:rsid w:val="009404E4"/>
    <w:rsid w:val="00951227"/>
    <w:rsid w:val="0097427D"/>
    <w:rsid w:val="009971A4"/>
    <w:rsid w:val="009E4973"/>
    <w:rsid w:val="009F7D2C"/>
    <w:rsid w:val="00A12299"/>
    <w:rsid w:val="00A37981"/>
    <w:rsid w:val="00A93EAD"/>
    <w:rsid w:val="00AA585E"/>
    <w:rsid w:val="00AA5A16"/>
    <w:rsid w:val="00AC604B"/>
    <w:rsid w:val="00AE22F1"/>
    <w:rsid w:val="00AF5F88"/>
    <w:rsid w:val="00B01683"/>
    <w:rsid w:val="00B2266A"/>
    <w:rsid w:val="00BE4F9C"/>
    <w:rsid w:val="00C14BFF"/>
    <w:rsid w:val="00C5296B"/>
    <w:rsid w:val="00C63300"/>
    <w:rsid w:val="00CA37D2"/>
    <w:rsid w:val="00CA4B28"/>
    <w:rsid w:val="00CE3B06"/>
    <w:rsid w:val="00CF2116"/>
    <w:rsid w:val="00D0744D"/>
    <w:rsid w:val="00D22186"/>
    <w:rsid w:val="00D224D9"/>
    <w:rsid w:val="00D305C7"/>
    <w:rsid w:val="00D65438"/>
    <w:rsid w:val="00D711C7"/>
    <w:rsid w:val="00DE4C26"/>
    <w:rsid w:val="00E127B0"/>
    <w:rsid w:val="00E141BF"/>
    <w:rsid w:val="00E2202C"/>
    <w:rsid w:val="00E239CB"/>
    <w:rsid w:val="00E248DB"/>
    <w:rsid w:val="00E85A8F"/>
    <w:rsid w:val="00EA78F7"/>
    <w:rsid w:val="00EB42E4"/>
    <w:rsid w:val="00ED25A8"/>
    <w:rsid w:val="00EF379D"/>
    <w:rsid w:val="00F277AB"/>
    <w:rsid w:val="00F33032"/>
    <w:rsid w:val="00F43A78"/>
    <w:rsid w:val="00F46A2F"/>
    <w:rsid w:val="00F5589E"/>
    <w:rsid w:val="00F71AB1"/>
    <w:rsid w:val="00F75301"/>
    <w:rsid w:val="00F81EC4"/>
    <w:rsid w:val="00F842CB"/>
    <w:rsid w:val="00FC66F8"/>
    <w:rsid w:val="01943098"/>
    <w:rsid w:val="01D62474"/>
    <w:rsid w:val="01FD16CE"/>
    <w:rsid w:val="032D344C"/>
    <w:rsid w:val="032F14C3"/>
    <w:rsid w:val="03330BA8"/>
    <w:rsid w:val="03720512"/>
    <w:rsid w:val="038152BD"/>
    <w:rsid w:val="03B236E1"/>
    <w:rsid w:val="0463312D"/>
    <w:rsid w:val="04B21E30"/>
    <w:rsid w:val="04C73930"/>
    <w:rsid w:val="04E15DB9"/>
    <w:rsid w:val="05230B45"/>
    <w:rsid w:val="059B063A"/>
    <w:rsid w:val="05CC4698"/>
    <w:rsid w:val="063512F1"/>
    <w:rsid w:val="063524D4"/>
    <w:rsid w:val="0693751F"/>
    <w:rsid w:val="06C870D6"/>
    <w:rsid w:val="07480985"/>
    <w:rsid w:val="07AA7642"/>
    <w:rsid w:val="07D06CCD"/>
    <w:rsid w:val="0898371D"/>
    <w:rsid w:val="08D50AED"/>
    <w:rsid w:val="08D71F23"/>
    <w:rsid w:val="08EF7F40"/>
    <w:rsid w:val="09CE107C"/>
    <w:rsid w:val="0A384720"/>
    <w:rsid w:val="0A5B4811"/>
    <w:rsid w:val="0B2E2632"/>
    <w:rsid w:val="0B523F9E"/>
    <w:rsid w:val="0BDB1464"/>
    <w:rsid w:val="0CFC51EB"/>
    <w:rsid w:val="0D5A3D68"/>
    <w:rsid w:val="0D6E2BEE"/>
    <w:rsid w:val="0DF27D0A"/>
    <w:rsid w:val="0E1A79B2"/>
    <w:rsid w:val="0E383F43"/>
    <w:rsid w:val="0EC03DD0"/>
    <w:rsid w:val="0EE1304F"/>
    <w:rsid w:val="111F77A4"/>
    <w:rsid w:val="122D09D4"/>
    <w:rsid w:val="12407077"/>
    <w:rsid w:val="1245740C"/>
    <w:rsid w:val="128B12C6"/>
    <w:rsid w:val="12D07F37"/>
    <w:rsid w:val="136059B6"/>
    <w:rsid w:val="139C6E8E"/>
    <w:rsid w:val="13F45E59"/>
    <w:rsid w:val="14275438"/>
    <w:rsid w:val="14BF2CC1"/>
    <w:rsid w:val="156E1403"/>
    <w:rsid w:val="16406F6A"/>
    <w:rsid w:val="16475F2A"/>
    <w:rsid w:val="17121E6F"/>
    <w:rsid w:val="173F61DA"/>
    <w:rsid w:val="181102F4"/>
    <w:rsid w:val="19441D76"/>
    <w:rsid w:val="19F71C26"/>
    <w:rsid w:val="1A8A19F7"/>
    <w:rsid w:val="1B312E3A"/>
    <w:rsid w:val="1C4F5BE0"/>
    <w:rsid w:val="1CDB102B"/>
    <w:rsid w:val="1D3E31A5"/>
    <w:rsid w:val="1EC2306D"/>
    <w:rsid w:val="1EEC4DB1"/>
    <w:rsid w:val="1F030297"/>
    <w:rsid w:val="1F6115E1"/>
    <w:rsid w:val="1FEA3163"/>
    <w:rsid w:val="20616312"/>
    <w:rsid w:val="20AA6086"/>
    <w:rsid w:val="21366A8D"/>
    <w:rsid w:val="21464AD0"/>
    <w:rsid w:val="21ED6739"/>
    <w:rsid w:val="226C3555"/>
    <w:rsid w:val="22794C31"/>
    <w:rsid w:val="22EB204F"/>
    <w:rsid w:val="22F44A81"/>
    <w:rsid w:val="23E752FC"/>
    <w:rsid w:val="24EA29EB"/>
    <w:rsid w:val="25482017"/>
    <w:rsid w:val="25742491"/>
    <w:rsid w:val="259B570A"/>
    <w:rsid w:val="25F7420F"/>
    <w:rsid w:val="26283994"/>
    <w:rsid w:val="264A2711"/>
    <w:rsid w:val="26623537"/>
    <w:rsid w:val="26E20A05"/>
    <w:rsid w:val="274473CB"/>
    <w:rsid w:val="281E2BC0"/>
    <w:rsid w:val="28C04D98"/>
    <w:rsid w:val="28C96919"/>
    <w:rsid w:val="28D97281"/>
    <w:rsid w:val="29DB3831"/>
    <w:rsid w:val="2A21652E"/>
    <w:rsid w:val="2A304417"/>
    <w:rsid w:val="2A673C8C"/>
    <w:rsid w:val="2ACC21FF"/>
    <w:rsid w:val="2B317C54"/>
    <w:rsid w:val="2B3A19B8"/>
    <w:rsid w:val="2B997CE7"/>
    <w:rsid w:val="2BC86AAF"/>
    <w:rsid w:val="2BCB38F7"/>
    <w:rsid w:val="2BF75B16"/>
    <w:rsid w:val="2C8256C8"/>
    <w:rsid w:val="2C986C60"/>
    <w:rsid w:val="2CA37FA1"/>
    <w:rsid w:val="2D0B48DA"/>
    <w:rsid w:val="2DAE1EC8"/>
    <w:rsid w:val="2DB724BA"/>
    <w:rsid w:val="2DF42FF7"/>
    <w:rsid w:val="2E337DFC"/>
    <w:rsid w:val="2EAC17FC"/>
    <w:rsid w:val="302D611C"/>
    <w:rsid w:val="305358EF"/>
    <w:rsid w:val="31146841"/>
    <w:rsid w:val="318717A6"/>
    <w:rsid w:val="32F270E0"/>
    <w:rsid w:val="33042C3C"/>
    <w:rsid w:val="3326536E"/>
    <w:rsid w:val="3375386B"/>
    <w:rsid w:val="33D953D9"/>
    <w:rsid w:val="3450352E"/>
    <w:rsid w:val="348D52E0"/>
    <w:rsid w:val="35163C02"/>
    <w:rsid w:val="356015BA"/>
    <w:rsid w:val="35BC0016"/>
    <w:rsid w:val="363673A9"/>
    <w:rsid w:val="36775F8A"/>
    <w:rsid w:val="36C37E27"/>
    <w:rsid w:val="36E94443"/>
    <w:rsid w:val="37F66809"/>
    <w:rsid w:val="381D1ADC"/>
    <w:rsid w:val="3866209E"/>
    <w:rsid w:val="392A64A4"/>
    <w:rsid w:val="39EA78B6"/>
    <w:rsid w:val="39FF171B"/>
    <w:rsid w:val="3A367859"/>
    <w:rsid w:val="3A651ECF"/>
    <w:rsid w:val="3A6B47B6"/>
    <w:rsid w:val="3AAC631F"/>
    <w:rsid w:val="3B19275A"/>
    <w:rsid w:val="3B31247F"/>
    <w:rsid w:val="3B3A3896"/>
    <w:rsid w:val="3B730038"/>
    <w:rsid w:val="3B842856"/>
    <w:rsid w:val="3BC12F17"/>
    <w:rsid w:val="3C8A1150"/>
    <w:rsid w:val="3D04724B"/>
    <w:rsid w:val="3E263B1B"/>
    <w:rsid w:val="3E312E01"/>
    <w:rsid w:val="3EAF2BE8"/>
    <w:rsid w:val="3EFC7C56"/>
    <w:rsid w:val="3F1832E2"/>
    <w:rsid w:val="3F27032B"/>
    <w:rsid w:val="3F7E5D58"/>
    <w:rsid w:val="40AA7269"/>
    <w:rsid w:val="410F2501"/>
    <w:rsid w:val="41A4761F"/>
    <w:rsid w:val="41C67AE5"/>
    <w:rsid w:val="42214B7C"/>
    <w:rsid w:val="425C3249"/>
    <w:rsid w:val="427174E6"/>
    <w:rsid w:val="42731A85"/>
    <w:rsid w:val="42761646"/>
    <w:rsid w:val="435F4815"/>
    <w:rsid w:val="439C282F"/>
    <w:rsid w:val="443F1903"/>
    <w:rsid w:val="44F72D17"/>
    <w:rsid w:val="46D07EDC"/>
    <w:rsid w:val="47A24AFF"/>
    <w:rsid w:val="4887005E"/>
    <w:rsid w:val="48C60B30"/>
    <w:rsid w:val="48D96F64"/>
    <w:rsid w:val="49521AB7"/>
    <w:rsid w:val="4A41771D"/>
    <w:rsid w:val="4A4562EB"/>
    <w:rsid w:val="4A8A3C24"/>
    <w:rsid w:val="4A8B6ED9"/>
    <w:rsid w:val="4AF861BE"/>
    <w:rsid w:val="4B172E31"/>
    <w:rsid w:val="4BDF5661"/>
    <w:rsid w:val="4C0E6A76"/>
    <w:rsid w:val="4C4978A3"/>
    <w:rsid w:val="4D194C02"/>
    <w:rsid w:val="4D4144A7"/>
    <w:rsid w:val="4DBB01F3"/>
    <w:rsid w:val="4E3B206D"/>
    <w:rsid w:val="4E866399"/>
    <w:rsid w:val="4F3D57BC"/>
    <w:rsid w:val="50650193"/>
    <w:rsid w:val="51511511"/>
    <w:rsid w:val="51584E58"/>
    <w:rsid w:val="51F05A0F"/>
    <w:rsid w:val="531E74C8"/>
    <w:rsid w:val="54B40138"/>
    <w:rsid w:val="54B8513C"/>
    <w:rsid w:val="54BB3358"/>
    <w:rsid w:val="54E87B55"/>
    <w:rsid w:val="55127A24"/>
    <w:rsid w:val="55BC11A8"/>
    <w:rsid w:val="55E4313B"/>
    <w:rsid w:val="562F1C3C"/>
    <w:rsid w:val="56D93B5C"/>
    <w:rsid w:val="57081DA1"/>
    <w:rsid w:val="571C5542"/>
    <w:rsid w:val="57240E06"/>
    <w:rsid w:val="57FB1878"/>
    <w:rsid w:val="58200A23"/>
    <w:rsid w:val="58257C8A"/>
    <w:rsid w:val="58FF3116"/>
    <w:rsid w:val="59216BA6"/>
    <w:rsid w:val="5985406B"/>
    <w:rsid w:val="59CC0AB4"/>
    <w:rsid w:val="5A375C63"/>
    <w:rsid w:val="5A70530C"/>
    <w:rsid w:val="5AF520BD"/>
    <w:rsid w:val="5B7E7D7B"/>
    <w:rsid w:val="5B8E3563"/>
    <w:rsid w:val="5BBB4B06"/>
    <w:rsid w:val="5BD50ED9"/>
    <w:rsid w:val="5CB32604"/>
    <w:rsid w:val="5CC640CE"/>
    <w:rsid w:val="5DC1214C"/>
    <w:rsid w:val="5F5B3011"/>
    <w:rsid w:val="5F654900"/>
    <w:rsid w:val="5F75038A"/>
    <w:rsid w:val="60350D48"/>
    <w:rsid w:val="60BD359B"/>
    <w:rsid w:val="60C217B4"/>
    <w:rsid w:val="60F97259"/>
    <w:rsid w:val="6139737C"/>
    <w:rsid w:val="61B44D29"/>
    <w:rsid w:val="61DB3C3E"/>
    <w:rsid w:val="62410DB6"/>
    <w:rsid w:val="62CF1164"/>
    <w:rsid w:val="63126247"/>
    <w:rsid w:val="634559C9"/>
    <w:rsid w:val="64332EA5"/>
    <w:rsid w:val="648917B9"/>
    <w:rsid w:val="64AE544B"/>
    <w:rsid w:val="64C26FC2"/>
    <w:rsid w:val="65A82E02"/>
    <w:rsid w:val="65D13589"/>
    <w:rsid w:val="665B77E4"/>
    <w:rsid w:val="66746EAF"/>
    <w:rsid w:val="66C726E1"/>
    <w:rsid w:val="67136CCC"/>
    <w:rsid w:val="684B445F"/>
    <w:rsid w:val="685A0160"/>
    <w:rsid w:val="69C265A0"/>
    <w:rsid w:val="69E81DE8"/>
    <w:rsid w:val="6A547F3F"/>
    <w:rsid w:val="6AD06BAC"/>
    <w:rsid w:val="6BAA10B0"/>
    <w:rsid w:val="6BCB4562"/>
    <w:rsid w:val="6CA37DA0"/>
    <w:rsid w:val="6CBB1D38"/>
    <w:rsid w:val="6D6E1BB6"/>
    <w:rsid w:val="6D921D2A"/>
    <w:rsid w:val="6DD419C4"/>
    <w:rsid w:val="6E2E1CB8"/>
    <w:rsid w:val="6EF00502"/>
    <w:rsid w:val="6EFD75B3"/>
    <w:rsid w:val="6F1D4DCD"/>
    <w:rsid w:val="6F1E3B34"/>
    <w:rsid w:val="6F351D1D"/>
    <w:rsid w:val="6F4A15E8"/>
    <w:rsid w:val="6FC11688"/>
    <w:rsid w:val="700642F3"/>
    <w:rsid w:val="70813F59"/>
    <w:rsid w:val="714510C3"/>
    <w:rsid w:val="71DD44B3"/>
    <w:rsid w:val="722C5F91"/>
    <w:rsid w:val="728E0E41"/>
    <w:rsid w:val="72A43BED"/>
    <w:rsid w:val="72EE7C33"/>
    <w:rsid w:val="734A6B82"/>
    <w:rsid w:val="73716A1C"/>
    <w:rsid w:val="73B22FAC"/>
    <w:rsid w:val="74134AA6"/>
    <w:rsid w:val="744D5235"/>
    <w:rsid w:val="74637C5F"/>
    <w:rsid w:val="748B457B"/>
    <w:rsid w:val="74D66D82"/>
    <w:rsid w:val="7511690B"/>
    <w:rsid w:val="751E429E"/>
    <w:rsid w:val="75DB3940"/>
    <w:rsid w:val="76090CA2"/>
    <w:rsid w:val="77014D0E"/>
    <w:rsid w:val="77371E3E"/>
    <w:rsid w:val="7754714D"/>
    <w:rsid w:val="77936C15"/>
    <w:rsid w:val="77A72665"/>
    <w:rsid w:val="77CC2FA7"/>
    <w:rsid w:val="77F32C8C"/>
    <w:rsid w:val="78901EB6"/>
    <w:rsid w:val="78B20E61"/>
    <w:rsid w:val="78B81F16"/>
    <w:rsid w:val="78C11C4C"/>
    <w:rsid w:val="78D131B3"/>
    <w:rsid w:val="79AA7D4B"/>
    <w:rsid w:val="79E804B8"/>
    <w:rsid w:val="7A1A5EE4"/>
    <w:rsid w:val="7A575380"/>
    <w:rsid w:val="7A5F043A"/>
    <w:rsid w:val="7B3551FE"/>
    <w:rsid w:val="7B9A78DB"/>
    <w:rsid w:val="7BAB6976"/>
    <w:rsid w:val="7C4101A6"/>
    <w:rsid w:val="7C490ABF"/>
    <w:rsid w:val="7D7A7B3B"/>
    <w:rsid w:val="7DF269AB"/>
    <w:rsid w:val="7E733633"/>
    <w:rsid w:val="7E930C6F"/>
    <w:rsid w:val="7F3B36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Lines="100" w:afterLines="100" w:line="360" w:lineRule="auto"/>
      <w:jc w:val="center"/>
      <w:outlineLvl w:val="0"/>
    </w:pPr>
    <w:rPr>
      <w:rFonts w:ascii="Calibri" w:hAnsi="Calibri" w:eastAsia="宋体" w:cs="Arial"/>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paragraph" w:styleId="9">
    <w:name w:val="List Paragraph"/>
    <w:basedOn w:val="1"/>
    <w:qFormat/>
    <w:uiPriority w:val="99"/>
    <w:pPr>
      <w:ind w:firstLine="420" w:firstLineChars="200"/>
    </w:p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1">
    <w:name w:val="网格型1"/>
    <w:basedOn w:val="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link w:val="4"/>
    <w:qFormat/>
    <w:uiPriority w:val="99"/>
    <w:rPr>
      <w:rFonts w:asciiTheme="minorHAnsi" w:hAnsiTheme="minorHAnsi" w:eastAsiaTheme="minorEastAsia" w:cstheme="minorBidi"/>
      <w:kern w:val="2"/>
      <w:sz w:val="18"/>
      <w:szCs w:val="18"/>
    </w:rPr>
  </w:style>
  <w:style w:type="character" w:customStyle="1" w:styleId="14">
    <w:name w:val="Hyperlink.0"/>
    <w:qFormat/>
    <w:uiPriority w:val="0"/>
    <w:rPr>
      <w:lang w:val="zh-TW" w:eastAsia="zh-TW"/>
    </w:rPr>
  </w:style>
  <w:style w:type="character" w:customStyle="1" w:styleId="15">
    <w:name w:val="00正文 Char Char"/>
    <w:link w:val="16"/>
    <w:qFormat/>
    <w:uiPriority w:val="0"/>
    <w:rPr>
      <w:rFonts w:ascii="仿宋_GB2312" w:hAnsi="宋体" w:eastAsia="仿宋_GB2312"/>
      <w:color w:val="000000"/>
      <w:sz w:val="24"/>
      <w:szCs w:val="24"/>
    </w:rPr>
  </w:style>
  <w:style w:type="paragraph" w:customStyle="1" w:styleId="16">
    <w:name w:val="00正文"/>
    <w:basedOn w:val="1"/>
    <w:link w:val="15"/>
    <w:qFormat/>
    <w:uiPriority w:val="0"/>
    <w:pPr>
      <w:spacing w:line="360" w:lineRule="auto"/>
      <w:ind w:firstLine="480" w:firstLineChars="200"/>
      <w:textAlignment w:val="baseline"/>
    </w:pPr>
    <w:rPr>
      <w:rFonts w:ascii="仿宋_GB2312" w:hAnsi="宋体" w:eastAsia="仿宋_GB2312" w:cs="Times New Roman"/>
      <w:color w:val="000000"/>
      <w:kern w:val="0"/>
      <w:sz w:val="24"/>
      <w:szCs w:val="24"/>
    </w:rPr>
  </w:style>
  <w:style w:type="character" w:customStyle="1" w:styleId="17">
    <w:name w:val="批注框文本 字符"/>
    <w:basedOn w:val="8"/>
    <w:link w:val="3"/>
    <w:qFormat/>
    <w:uiPriority w:val="0"/>
    <w:rPr>
      <w:rFonts w:asciiTheme="minorHAnsi" w:hAnsiTheme="minorHAnsi" w:eastAsiaTheme="minorEastAsia" w:cstheme="minorBidi"/>
      <w:kern w:val="2"/>
      <w:sz w:val="18"/>
      <w:szCs w:val="18"/>
    </w:rPr>
  </w:style>
  <w:style w:type="paragraph" w:customStyle="1" w:styleId="1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9">
    <w:name w:val="font21"/>
    <w:basedOn w:val="8"/>
    <w:qFormat/>
    <w:uiPriority w:val="0"/>
    <w:rPr>
      <w:rFonts w:hint="eastAsia" w:ascii="微软雅黑" w:hAnsi="微软雅黑" w:eastAsia="微软雅黑" w:cs="微软雅黑"/>
      <w:color w:val="000000"/>
      <w:sz w:val="22"/>
      <w:szCs w:val="22"/>
      <w:u w:val="none"/>
    </w:rPr>
  </w:style>
  <w:style w:type="character" w:customStyle="1" w:styleId="20">
    <w:name w:val="font61"/>
    <w:basedOn w:val="8"/>
    <w:qFormat/>
    <w:uiPriority w:val="0"/>
    <w:rPr>
      <w:rFonts w:ascii="Arial" w:hAnsi="Arial" w:cs="Arial"/>
      <w:color w:val="000000"/>
      <w:sz w:val="22"/>
      <w:szCs w:val="22"/>
      <w:u w:val="none"/>
    </w:rPr>
  </w:style>
  <w:style w:type="paragraph" w:customStyle="1" w:styleId="21">
    <w:name w:val="样式1"/>
    <w:basedOn w:val="1"/>
    <w:uiPriority w:val="0"/>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Words>
  <Characters>915</Characters>
  <Lines>7</Lines>
  <Paragraphs>2</Paragraphs>
  <TotalTime>5</TotalTime>
  <ScaleCrop>false</ScaleCrop>
  <LinksUpToDate>false</LinksUpToDate>
  <CharactersWithSpaces>1073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2021-01-08T03:10:00Z</dcterms:created>
  <dc:creator>lenovo</dc:creator>
  <cp:lastModifiedBy>DELL</cp:lastModifiedBy>
  <dcterms:modified xsi:type="dcterms:W3CDTF">2021-03-05T01:44:43Z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DB174C0B76C245B99D87B8B8176D794A</vt:lpwstr>
  </property>
</Properties>
</file>